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11.10.2021 N 697</w:t>
              <w:br/>
              <w:t xml:space="preserve">(ред. от 17.12.2024)</w:t>
              <w:br/>
              <w:t xml:space="preserve">"Об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w:t>
              <w:br/>
              <w:t xml:space="preserve">(Зарегистрировано в Минюсте России 27.12.2021 N 66589)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27 декабря 2021 г. N 66589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СЕЛЬСКОГО 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11 октября 2021 г. N 697</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ФЕДЕРАЛЬНОГО ГОСУДАРСТВЕННОГО КОНТРОЛЯ</w:t>
      </w:r>
    </w:p>
    <w:p>
      <w:pPr>
        <w:pStyle w:val="2"/>
        <w:jc w:val="center"/>
      </w:pPr>
      <w:r>
        <w:rPr>
          <w:sz w:val="20"/>
        </w:rPr>
        <w:t xml:space="preserve">(НАДЗОРА) В ОБЛАСТИ РЫБОЛОВСТВА И СОХРАНЕНИЯ ВОДНЫХ</w:t>
      </w:r>
    </w:p>
    <w:p>
      <w:pPr>
        <w:pStyle w:val="2"/>
        <w:jc w:val="center"/>
      </w:pPr>
      <w:r>
        <w:rPr>
          <w:sz w:val="20"/>
        </w:rPr>
        <w:t xml:space="preserve">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29.06.2023 </w:t>
            </w:r>
            <w:hyperlink w:history="0" r:id="rId8" w:tooltip="Приказ Минсельхоза России от 29.06.2023 N 596 &quot;О внесении изменения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01.08.2023 N 74570)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28.12.2023 </w:t>
            </w:r>
            <w:hyperlink w:history="0" r:id="rId9" w:tooltip="Приказ Минсельхоза России от 28.12.2023 N 948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3.2024 N 77676) {КонсультантПлюс}">
              <w:r>
                <w:rPr>
                  <w:sz w:val="20"/>
                  <w:color w:val="0000ff"/>
                </w:rPr>
                <w:t xml:space="preserve">N 948</w:t>
              </w:r>
            </w:hyperlink>
            <w:r>
              <w:rPr>
                <w:sz w:val="20"/>
                <w:color w:val="392c69"/>
              </w:rPr>
              <w:t xml:space="preserve">, от 17.12.2024 </w:t>
            </w:r>
            <w:hyperlink w:history="0" r:id="rId10" w:tooltip="Приказ Минсельхоза России от 17.12.2024 N 749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1.2025 N 81059) {КонсультантПлюс}">
              <w:r>
                <w:rPr>
                  <w:sz w:val="20"/>
                  <w:color w:val="0000ff"/>
                </w:rPr>
                <w:t xml:space="preserve">N 749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1 части 10 статьи 23</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w:t>
      </w:r>
      <w:hyperlink w:history="0" r:id="rId12" w:tooltip="Постановление Правительства РФ от 25.06.2021 N 996 (ред. от 01.11.2025) &quot;Об утверждении Положения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пунктом 1</w:t>
        </w:r>
      </w:hyperlink>
      <w:r>
        <w:rPr>
          <w:sz w:val="20"/>
        </w:rPr>
        <w:t xml:space="preserve"> Положения о федеральном государственном контроле (надзоре) в области рыболовства и сохранения водных биологических ресурсов, утвержденного постановлением Правительства Российской Федерации от 25 июня 2021 г. N 996 (Собрание законодательства Российской Федерации, 2021, N 27, ст. 5384), и </w:t>
      </w:r>
      <w:hyperlink w:history="0" r:id="rId13" w:tooltip="Постановление Правительства РФ от 12.06.2008 N 450 (ред. от 19.03.2026) &quot;О Министерстве сельского хозяйства Российской Федерации&quot; {КонсультантПлюс}">
        <w:r>
          <w:rPr>
            <w:sz w:val="20"/>
            <w:color w:val="0000ff"/>
          </w:rPr>
          <w:t xml:space="preserve">пунктом 1</w:t>
        </w:r>
      </w:hyperlink>
      <w:r>
        <w:rPr>
          <w:sz w:val="20"/>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2020, N 40, ст. 6251), приказываю:</w:t>
      </w:r>
    </w:p>
    <w:p>
      <w:pPr>
        <w:pStyle w:val="0"/>
        <w:spacing w:before="200" w:lineRule="auto"/>
        <w:ind w:firstLine="540"/>
        <w:jc w:val="both"/>
      </w:pPr>
      <w:r>
        <w:rPr>
          <w:sz w:val="20"/>
        </w:rPr>
        <w:t xml:space="preserve">Утвердить </w:t>
      </w:r>
      <w:hyperlink w:history="0" w:anchor="P32" w:tooltip="ПЕРЕЧЕНЬ">
        <w:r>
          <w:rPr>
            <w:sz w:val="20"/>
            <w:color w:val="0000ff"/>
          </w:rPr>
          <w:t xml:space="preserve">перечень</w:t>
        </w:r>
      </w:hyperlink>
      <w:r>
        <w:rPr>
          <w:sz w:val="20"/>
        </w:rPr>
        <w:t xml:space="preserve">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согласно приложению к настоящему приказу.</w:t>
      </w:r>
    </w:p>
    <w:p>
      <w:pPr>
        <w:pStyle w:val="0"/>
        <w:jc w:val="both"/>
      </w:pPr>
      <w:r>
        <w:rPr>
          <w:sz w:val="20"/>
        </w:rPr>
      </w:r>
    </w:p>
    <w:p>
      <w:pPr>
        <w:pStyle w:val="0"/>
        <w:jc w:val="right"/>
      </w:pPr>
      <w:r>
        <w:rPr>
          <w:sz w:val="20"/>
        </w:rPr>
        <w:t xml:space="preserve">Министр</w:t>
      </w:r>
    </w:p>
    <w:p>
      <w:pPr>
        <w:pStyle w:val="0"/>
        <w:jc w:val="right"/>
      </w:pPr>
      <w:r>
        <w:rPr>
          <w:sz w:val="20"/>
        </w:rPr>
        <w:t xml:space="preserve">Д.Н.ПАТРУШЕВ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Минсельхоза России</w:t>
      </w:r>
    </w:p>
    <w:p>
      <w:pPr>
        <w:pStyle w:val="0"/>
        <w:jc w:val="right"/>
      </w:pPr>
      <w:r>
        <w:rPr>
          <w:sz w:val="20"/>
        </w:rPr>
        <w:t xml:space="preserve">от 11.10.2021 N 697</w:t>
      </w:r>
    </w:p>
    <w:p>
      <w:pPr>
        <w:pStyle w:val="0"/>
        <w:jc w:val="both"/>
      </w:pPr>
      <w:r>
        <w:rPr>
          <w:sz w:val="20"/>
        </w:rPr>
      </w:r>
    </w:p>
    <w:bookmarkStart w:id="32" w:name="P32"/>
    <w:bookmarkEnd w:id="32"/>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ФЕДЕРАЛЬНОГО ГОСУДАРСТВЕННОГО КОНТРОЛЯ</w:t>
      </w:r>
    </w:p>
    <w:p>
      <w:pPr>
        <w:pStyle w:val="2"/>
        <w:jc w:val="center"/>
      </w:pPr>
      <w:r>
        <w:rPr>
          <w:sz w:val="20"/>
        </w:rPr>
        <w:t xml:space="preserve">(НАДЗОРА) В ОБЛАСТИ РЫБОЛОВСТВА И СОХРАНЕНИЯ ВОДНЫХ</w:t>
      </w:r>
    </w:p>
    <w:p>
      <w:pPr>
        <w:pStyle w:val="2"/>
        <w:jc w:val="center"/>
      </w:pPr>
      <w:r>
        <w:rPr>
          <w:sz w:val="20"/>
        </w:rPr>
        <w:t xml:space="preserve">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Минсельхоза России от 29.06.2023 </w:t>
            </w:r>
            <w:hyperlink w:history="0" r:id="rId14" w:tooltip="Приказ Минсельхоза России от 29.06.2023 N 596 &quot;О внесении изменения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01.08.2023 N 74570)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28.12.2023 </w:t>
            </w:r>
            <w:hyperlink w:history="0" r:id="rId15" w:tooltip="Приказ Минсельхоза России от 28.12.2023 N 948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3.2024 N 77676) {КонсультантПлюс}">
              <w:r>
                <w:rPr>
                  <w:sz w:val="20"/>
                  <w:color w:val="0000ff"/>
                </w:rPr>
                <w:t xml:space="preserve">N 948</w:t>
              </w:r>
            </w:hyperlink>
            <w:r>
              <w:rPr>
                <w:sz w:val="20"/>
                <w:color w:val="392c69"/>
              </w:rPr>
              <w:t xml:space="preserve">, от 17.12.2024 </w:t>
            </w:r>
            <w:hyperlink w:history="0" r:id="rId16" w:tooltip="Приказ Минсельхоза России от 17.12.2024 N 749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1.2025 N 81059) {КонсультантПлюс}">
              <w:r>
                <w:rPr>
                  <w:sz w:val="20"/>
                  <w:color w:val="0000ff"/>
                </w:rPr>
                <w:t xml:space="preserve">N 749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Обнаружение должностными лицами территориальных органов Федерального агентства по рыболовству в пределах их полномочий &lt;1&gt; на водных объектах, в том числе на рыболовных участках, находящихся в нерабочем состоянии орудий добычи (вылова) водных биологических ресурсов, запрещенных в соответствии с законодательством о рыболовстве и сохранении водных биологических ресурсов к применению в районах добычи (вылова) водных биологических ресурсов в период действия запрета добычи (вылова) водных биологических ресурсов &lt;2&gt;.</w:t>
      </w:r>
    </w:p>
    <w:p>
      <w:pPr>
        <w:pStyle w:val="0"/>
        <w:spacing w:before="200" w:lineRule="auto"/>
        <w:ind w:firstLine="540"/>
        <w:jc w:val="both"/>
      </w:pPr>
      <w:r>
        <w:rPr>
          <w:sz w:val="20"/>
        </w:rPr>
        <w:t xml:space="preserve">2. Обнаружение должностными лицами территориальных органов Федерального агентства по рыболовству в пределах их полномочий &lt;1&gt; на водных объектах, в том числе на рыболовных участках, отходов переработки уловов водных биологических ресурсов, добыча (вылов) которых запрещена в соответствии с законодательством о рыболовстве и сохранении водных биологических ресурсов в районах добычи (вылова) водных биологических ресурсов в период действия запрета добычи (вылова) водных биологических ресурсов &lt;2&gt;.</w:t>
      </w:r>
    </w:p>
    <w:p>
      <w:pPr>
        <w:pStyle w:val="0"/>
        <w:ind w:firstLine="540"/>
        <w:jc w:val="both"/>
      </w:pPr>
      <w:r>
        <w:rPr>
          <w:sz w:val="20"/>
        </w:rPr>
      </w:r>
    </w:p>
    <w:p>
      <w:pPr>
        <w:pStyle w:val="0"/>
        <w:ind w:firstLine="540"/>
        <w:jc w:val="both"/>
      </w:pPr>
      <w:r>
        <w:rPr>
          <w:sz w:val="20"/>
        </w:rPr>
        <w:t xml:space="preserve">--------------------------------</w:t>
      </w:r>
    </w:p>
    <w:bookmarkStart w:id="45" w:name="P45"/>
    <w:bookmarkEnd w:id="45"/>
    <w:p>
      <w:pPr>
        <w:pStyle w:val="0"/>
        <w:spacing w:before="200" w:lineRule="auto"/>
        <w:ind w:firstLine="540"/>
        <w:jc w:val="both"/>
      </w:pPr>
      <w:r>
        <w:rPr>
          <w:sz w:val="20"/>
        </w:rPr>
        <w:t xml:space="preserve">&lt;1&gt; </w:t>
      </w:r>
      <w:hyperlink w:history="0" r:id="rId17" w:tooltip="Постановление Правительства РФ от 11.06.2008 N 444 (ред. от 31.07.2025) &quot;О Федеральном агентстве по рыболовству&quot; {КонсультантПлюс}">
        <w:r>
          <w:rPr>
            <w:sz w:val="20"/>
            <w:color w:val="0000ff"/>
          </w:rPr>
          <w:t xml:space="preserve">Пункты 1</w:t>
        </w:r>
      </w:hyperlink>
      <w:r>
        <w:rPr>
          <w:sz w:val="20"/>
        </w:rPr>
        <w:t xml:space="preserve"> и </w:t>
      </w:r>
      <w:hyperlink w:history="0" r:id="rId18" w:tooltip="Постановление Правительства РФ от 11.06.2008 N 444 (ред. от 31.07.2025) &quot;О Федеральном агентстве по рыболовству&quot; {КонсультантПлюс}">
        <w:r>
          <w:rPr>
            <w:sz w:val="20"/>
            <w:color w:val="0000ff"/>
          </w:rPr>
          <w:t xml:space="preserve">4</w:t>
        </w:r>
      </w:hyperlink>
      <w:r>
        <w:rPr>
          <w:sz w:val="20"/>
        </w:rPr>
        <w:t xml:space="preserve">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 2021, N 39, ст. 6729).</w:t>
      </w:r>
    </w:p>
    <w:p>
      <w:pPr>
        <w:pStyle w:val="0"/>
        <w:spacing w:before="200" w:lineRule="auto"/>
        <w:ind w:firstLine="540"/>
        <w:jc w:val="both"/>
      </w:pPr>
      <w:r>
        <w:rPr>
          <w:sz w:val="20"/>
        </w:rPr>
        <w:t xml:space="preserve">&lt;2&gt; </w:t>
      </w:r>
      <w:hyperlink w:history="0" r:id="rId19"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Части 1</w:t>
        </w:r>
      </w:hyperlink>
      <w:r>
        <w:rPr>
          <w:sz w:val="20"/>
        </w:rPr>
        <w:t xml:space="preserve">, </w:t>
      </w:r>
      <w:hyperlink w:history="0" r:id="rId20"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2 статьи 26</w:t>
        </w:r>
      </w:hyperlink>
      <w:r>
        <w:rPr>
          <w:sz w:val="20"/>
        </w:rPr>
        <w:t xml:space="preserve"> и </w:t>
      </w:r>
      <w:hyperlink w:history="0" r:id="rId21"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статья 43.1</w:t>
        </w:r>
      </w:hyperlink>
      <w:r>
        <w:rPr>
          <w:sz w:val="20"/>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ind w:firstLine="540"/>
        <w:jc w:val="both"/>
      </w:pPr>
      <w:r>
        <w:rPr>
          <w:sz w:val="20"/>
        </w:rPr>
      </w:r>
    </w:p>
    <w:p>
      <w:pPr>
        <w:pStyle w:val="0"/>
        <w:ind w:firstLine="540"/>
        <w:jc w:val="both"/>
      </w:pPr>
      <w:r>
        <w:rPr>
          <w:sz w:val="20"/>
        </w:rPr>
        <w:t xml:space="preserve">3. Обнаружение должностными лицами территориальных органов Федерального агентства по рыболовству в пределах их полномочий &lt;1&gt; факта заполнения площади нерестового участка водного объекта анадромными видами рыб менее чем на 41% от величины его заполнения, необходимой для обеспечения естественного воспроизводства анадромных видов рыб, при осуществлении хозяйствующим субъектом деятельности по добыче (вылову) анадромных видов рыб на водном объекте ниже по течению от указанного нерестового участка, за исключением случаев незаполнения, связанных с отклонениями от условий, предусмотренных при проведении ежегодной оценки и прогноза изменений биологического состояния, численности, распределения и воспроизводства водных биоресурсов и среды их обитания под воздействием природных и антропогенных факторов &lt;3&gt;.</w:t>
      </w:r>
    </w:p>
    <w:p>
      <w:pPr>
        <w:pStyle w:val="0"/>
        <w:jc w:val="both"/>
      </w:pPr>
      <w:r>
        <w:rPr>
          <w:sz w:val="20"/>
        </w:rPr>
        <w:t xml:space="preserve">(п. 3 введен </w:t>
      </w:r>
      <w:hyperlink w:history="0" r:id="rId22" w:tooltip="Приказ Минсельхоза России от 29.06.2023 N 596 &quot;О внесении изменения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01.08.2023 N 74570) {КонсультантПлюс}">
        <w:r>
          <w:rPr>
            <w:sz w:val="20"/>
            <w:color w:val="0000ff"/>
          </w:rPr>
          <w:t xml:space="preserve">Приказом</w:t>
        </w:r>
      </w:hyperlink>
      <w:r>
        <w:rPr>
          <w:sz w:val="20"/>
        </w:rPr>
        <w:t xml:space="preserve"> Минсельхоза России от 29.06.2023 N 596)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3"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0"/>
            <w:color w:val="0000ff"/>
          </w:rPr>
          <w:t xml:space="preserve">Подпункт "а" пункта 3</w:t>
        </w:r>
      </w:hyperlink>
      <w:r>
        <w:rPr>
          <w:sz w:val="20"/>
        </w:rP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w:t>
      </w:r>
    </w:p>
    <w:p>
      <w:pPr>
        <w:pStyle w:val="0"/>
        <w:jc w:val="both"/>
      </w:pPr>
      <w:r>
        <w:rPr>
          <w:sz w:val="20"/>
        </w:rPr>
        <w:t xml:space="preserve">(сноска введена </w:t>
      </w:r>
      <w:hyperlink w:history="0" r:id="rId24" w:tooltip="Приказ Минсельхоза России от 29.06.2023 N 596 &quot;О внесении изменения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01.08.2023 N 74570) {КонсультантПлюс}">
        <w:r>
          <w:rPr>
            <w:sz w:val="20"/>
            <w:color w:val="0000ff"/>
          </w:rPr>
          <w:t xml:space="preserve">Приказом</w:t>
        </w:r>
      </w:hyperlink>
      <w:r>
        <w:rPr>
          <w:sz w:val="20"/>
        </w:rPr>
        <w:t xml:space="preserve"> Минсельхоза России от 29.06.2023 N 596)</w:t>
      </w:r>
    </w:p>
    <w:p>
      <w:pPr>
        <w:pStyle w:val="0"/>
        <w:jc w:val="both"/>
      </w:pPr>
      <w:r>
        <w:rPr>
          <w:sz w:val="20"/>
        </w:rPr>
      </w:r>
    </w:p>
    <w:p>
      <w:pPr>
        <w:pStyle w:val="0"/>
        <w:ind w:firstLine="540"/>
        <w:jc w:val="both"/>
      </w:pPr>
      <w:r>
        <w:rPr>
          <w:sz w:val="20"/>
        </w:rPr>
        <w:t xml:space="preserve">4. Обнаружение должностными лицами территориальных органов Федерального агентства по рыболовству в пределах их полномочий </w:t>
      </w:r>
      <w:hyperlink w:history="0" w:anchor="P45" w:tooltip="&lt;1&gt; Пункты 1 и 4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 2021, N 39, ст. 6729).">
        <w:r>
          <w:rPr>
            <w:sz w:val="20"/>
            <w:color w:val="0000ff"/>
          </w:rPr>
          <w:t xml:space="preserve">&lt;1&gt;</w:t>
        </w:r>
      </w:hyperlink>
      <w:r>
        <w:rPr>
          <w:sz w:val="20"/>
        </w:rPr>
        <w:t xml:space="preserve"> превышения на 50% судном рыбопромыслового флота, осуществляющим промышленное и (или) прибрежное рыболовство (далее - судно), средней массы улова водных биологических ресурсов, добытых (выловленных) судами в конкретном районе (добычи), данные о котором содержатся в судовых суточных донесениях &lt;4&gt; (далее - ССД), переданных в государственную информационную систему "Отраслевая система мониторинга водных биологических ресурсов, наблюдения и контроля за деятельностью судов рыбопромыслового флота" &lt;5&gt; после непоступления ССД от данного судна в течение 72 часов подряд или после восстановления работы на данном судне в течение 48 часов технических средств контроля &lt;6&gt; с момента прекращения их работы.</w:t>
      </w:r>
    </w:p>
    <w:p>
      <w:pPr>
        <w:pStyle w:val="0"/>
        <w:jc w:val="both"/>
      </w:pPr>
      <w:r>
        <w:rPr>
          <w:sz w:val="20"/>
        </w:rPr>
        <w:t xml:space="preserve">(п. 4 введен </w:t>
      </w:r>
      <w:hyperlink w:history="0" r:id="rId25" w:tooltip="Приказ Минсельхоза России от 28.12.2023 N 948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3.2024 N 77676) {КонсультантПлюс}">
        <w:r>
          <w:rPr>
            <w:sz w:val="20"/>
            <w:color w:val="0000ff"/>
          </w:rPr>
          <w:t xml:space="preserve">Приказом</w:t>
        </w:r>
      </w:hyperlink>
      <w:r>
        <w:rPr>
          <w:sz w:val="20"/>
        </w:rPr>
        <w:t xml:space="preserve"> Минсельхоза России от 28.12.2023 N 948)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6"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0"/>
            <w:color w:val="0000ff"/>
          </w:rPr>
          <w:t xml:space="preserve">Пункт 2</w:t>
        </w:r>
      </w:hyperlink>
      <w:r>
        <w:rPr>
          <w:sz w:val="20"/>
        </w:rP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w:t>
      </w:r>
    </w:p>
    <w:p>
      <w:pPr>
        <w:pStyle w:val="0"/>
        <w:jc w:val="both"/>
      </w:pPr>
      <w:r>
        <w:rPr>
          <w:sz w:val="20"/>
        </w:rPr>
        <w:t xml:space="preserve">(сноска введена </w:t>
      </w:r>
      <w:hyperlink w:history="0" r:id="rId27" w:tooltip="Приказ Минсельхоза России от 28.12.2023 N 948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3.2024 N 77676) {КонсультантПлюс}">
        <w:r>
          <w:rPr>
            <w:sz w:val="20"/>
            <w:color w:val="0000ff"/>
          </w:rPr>
          <w:t xml:space="preserve">Приказом</w:t>
        </w:r>
      </w:hyperlink>
      <w:r>
        <w:rPr>
          <w:sz w:val="20"/>
        </w:rPr>
        <w:t xml:space="preserve"> Минсельхоза России от 28.12.2023 N 948)</w:t>
      </w:r>
    </w:p>
    <w:p>
      <w:pPr>
        <w:pStyle w:val="0"/>
        <w:spacing w:before="200" w:lineRule="auto"/>
        <w:ind w:firstLine="540"/>
        <w:jc w:val="both"/>
      </w:pPr>
      <w:r>
        <w:rPr>
          <w:sz w:val="20"/>
        </w:rPr>
        <w:t xml:space="preserve">&lt;5&gt; </w:t>
      </w:r>
      <w:hyperlink w:history="0" r:id="rId28"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0"/>
            <w:color w:val="0000ff"/>
          </w:rPr>
          <w:t xml:space="preserve">Приказ</w:t>
        </w:r>
      </w:hyperlink>
      <w:r>
        <w:rPr>
          <w:sz w:val="20"/>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w:t>
      </w:r>
    </w:p>
    <w:p>
      <w:pPr>
        <w:pStyle w:val="0"/>
        <w:jc w:val="both"/>
      </w:pPr>
      <w:r>
        <w:rPr>
          <w:sz w:val="20"/>
        </w:rPr>
        <w:t xml:space="preserve">(сноска введена </w:t>
      </w:r>
      <w:hyperlink w:history="0" r:id="rId29" w:tooltip="Приказ Минсельхоза России от 28.12.2023 N 948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3.2024 N 77676) {КонсультантПлюс}">
        <w:r>
          <w:rPr>
            <w:sz w:val="20"/>
            <w:color w:val="0000ff"/>
          </w:rPr>
          <w:t xml:space="preserve">Приказом</w:t>
        </w:r>
      </w:hyperlink>
      <w:r>
        <w:rPr>
          <w:sz w:val="20"/>
        </w:rPr>
        <w:t xml:space="preserve"> Минсельхоза России от 28.12.2023 N 948)</w:t>
      </w:r>
    </w:p>
    <w:p>
      <w:pPr>
        <w:pStyle w:val="0"/>
        <w:spacing w:before="200" w:lineRule="auto"/>
        <w:ind w:firstLine="540"/>
        <w:jc w:val="both"/>
      </w:pPr>
      <w:r>
        <w:rPr>
          <w:sz w:val="20"/>
        </w:rPr>
        <w:t xml:space="preserve">&lt;6&gt; </w:t>
      </w:r>
      <w:hyperlink w:history="0" r:id="rId30"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0"/>
            <w:color w:val="0000ff"/>
          </w:rPr>
          <w:t xml:space="preserve">Приказ</w:t>
        </w:r>
      </w:hyperlink>
      <w:r>
        <w:rPr>
          <w:sz w:val="20"/>
        </w:rPr>
        <w:t xml:space="preserve"> Минсельхоза России от 13 мая 2024 г. N 250 "Об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 (зарегистрирован Минюстом России 31 мая 2024 г., регистрационный N 78421) (далее - приказ). Согласно </w:t>
      </w:r>
      <w:hyperlink w:history="0" r:id="rId31"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0"/>
            <w:color w:val="0000ff"/>
          </w:rPr>
          <w:t xml:space="preserve">пункту 4</w:t>
        </w:r>
      </w:hyperlink>
      <w:r>
        <w:rPr>
          <w:sz w:val="20"/>
        </w:rPr>
        <w:t xml:space="preserve"> приказа данный акт действует до 1 сентября 2030 г.</w:t>
      </w:r>
    </w:p>
    <w:p>
      <w:pPr>
        <w:pStyle w:val="0"/>
        <w:jc w:val="both"/>
      </w:pPr>
      <w:r>
        <w:rPr>
          <w:sz w:val="20"/>
        </w:rPr>
        <w:t xml:space="preserve">(сноска в ред. </w:t>
      </w:r>
      <w:hyperlink w:history="0" r:id="rId32" w:tooltip="Приказ Минсельхоза России от 17.12.2024 N 749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1.2025 N 81059) {КонсультантПлюс}">
        <w:r>
          <w:rPr>
            <w:sz w:val="20"/>
            <w:color w:val="0000ff"/>
          </w:rPr>
          <w:t xml:space="preserve">Приказа</w:t>
        </w:r>
      </w:hyperlink>
      <w:r>
        <w:rPr>
          <w:sz w:val="20"/>
        </w:rPr>
        <w:t xml:space="preserve"> Минсельхоза России от 17.12.2024 N 749)</w:t>
      </w:r>
    </w:p>
    <w:p>
      <w:pPr>
        <w:pStyle w:val="0"/>
        <w:ind w:firstLine="540"/>
        <w:jc w:val="both"/>
      </w:pPr>
      <w:r>
        <w:rPr>
          <w:sz w:val="20"/>
        </w:rPr>
      </w:r>
    </w:p>
    <w:p>
      <w:pPr>
        <w:pStyle w:val="0"/>
        <w:ind w:firstLine="540"/>
        <w:jc w:val="both"/>
      </w:pPr>
      <w:r>
        <w:rPr>
          <w:sz w:val="20"/>
        </w:rPr>
        <w:t xml:space="preserve">5. Осуществление производственного контроля работником юридического лица или индивидуального предпринимателя, заключившего договор пользования рыболовным участком в соответствии со </w:t>
      </w:r>
      <w:hyperlink w:history="0" r:id="rId33"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статьей 33.3</w:t>
        </w:r>
      </w:hyperlink>
      <w:r>
        <w:rPr>
          <w:sz w:val="20"/>
        </w:rPr>
        <w:t xml:space="preserve"> Федерального закона от 20 декабря 2004 г. N 166-ФЗ "О рыболовстве и сохранении водных биологических ресурсов" (далее соответственно - пользователь, договор), которому выдано удостоверение производственного инспектора &lt;7&gt;, в отношении 2 и более рыболовных участков, не имеющих общей границы либо не прилегающих друг к другу, используемых пользователем на основании договоров, при условии, что действующее удостоверение производственного инспектора имеется не более чем у 1 работника пользователя.</w:t>
      </w:r>
    </w:p>
    <w:p>
      <w:pPr>
        <w:pStyle w:val="0"/>
        <w:jc w:val="both"/>
      </w:pPr>
      <w:r>
        <w:rPr>
          <w:sz w:val="20"/>
        </w:rPr>
        <w:t xml:space="preserve">(п. 5 введен </w:t>
      </w:r>
      <w:hyperlink w:history="0" r:id="rId34" w:tooltip="Приказ Минсельхоза России от 17.12.2024 N 749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1.2025 N 81059) {КонсультантПлюс}">
        <w:r>
          <w:rPr>
            <w:sz w:val="20"/>
            <w:color w:val="0000ff"/>
          </w:rPr>
          <w:t xml:space="preserve">Приказом</w:t>
        </w:r>
      </w:hyperlink>
      <w:r>
        <w:rPr>
          <w:sz w:val="20"/>
        </w:rPr>
        <w:t xml:space="preserve"> Минсельхоза России от 17.12.2024 N 749)</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5" w:tooltip="Постановление Правительства РФ от 18.05.2024 N 625 &quot;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quot; (вместе с &quot;Правилами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 {КонсультантПлюс}">
        <w:r>
          <w:rPr>
            <w:sz w:val="20"/>
            <w:color w:val="0000ff"/>
          </w:rPr>
          <w:t xml:space="preserve">Постановление</w:t>
        </w:r>
      </w:hyperlink>
      <w:r>
        <w:rPr>
          <w:sz w:val="20"/>
        </w:rPr>
        <w:t xml:space="preserve"> Правительства Российской Федерации от 18 мая 2024 г. N 625 "Об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w:t>
      </w:r>
    </w:p>
    <w:p>
      <w:pPr>
        <w:pStyle w:val="0"/>
        <w:jc w:val="both"/>
      </w:pPr>
      <w:r>
        <w:rPr>
          <w:sz w:val="20"/>
        </w:rPr>
        <w:t xml:space="preserve">(сноска введена </w:t>
      </w:r>
      <w:hyperlink w:history="0" r:id="rId36" w:tooltip="Приказ Минсельхоза России от 17.12.2024 N 749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утвержденный приказом Минсельхоза России от 11 октября 2021 г. N 697&quot; (Зарегистрировано в Минюсте России 28.01.2025 N 81059) {КонсультантПлюс}">
        <w:r>
          <w:rPr>
            <w:sz w:val="20"/>
            <w:color w:val="0000ff"/>
          </w:rPr>
          <w:t xml:space="preserve">Приказом</w:t>
        </w:r>
      </w:hyperlink>
      <w:r>
        <w:rPr>
          <w:sz w:val="20"/>
        </w:rPr>
        <w:t xml:space="preserve"> Минсельхоза России от 17.12.2024 N 749)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11.10.2021 N 697</w:t>
            <w:br/>
            <w:t>(ред. от 17.12.2024)</w:t>
            <w:br/>
            <w:t>"Об утверждении перечня индикаторов риска нарушения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3628&amp;dst=100006" TargetMode = "External"/><Relationship Id="rId9" Type="http://schemas.openxmlformats.org/officeDocument/2006/relationships/hyperlink" Target="https://login.consultant.ru/link/?req=doc&amp;base=LAW&amp;n=473292&amp;dst=100006" TargetMode = "External"/><Relationship Id="rId10" Type="http://schemas.openxmlformats.org/officeDocument/2006/relationships/hyperlink" Target="https://login.consultant.ru/link/?req=doc&amp;base=LAW&amp;n=497309&amp;dst=100006" TargetMode = "External"/><Relationship Id="rId11" Type="http://schemas.openxmlformats.org/officeDocument/2006/relationships/hyperlink" Target="https://login.consultant.ru/link/?req=doc&amp;base=LAW&amp;n=508984&amp;dst=100271" TargetMode = "External"/><Relationship Id="rId12" Type="http://schemas.openxmlformats.org/officeDocument/2006/relationships/hyperlink" Target="https://login.consultant.ru/link/?req=doc&amp;base=LAW&amp;n=518050&amp;dst=100015" TargetMode = "External"/><Relationship Id="rId13" Type="http://schemas.openxmlformats.org/officeDocument/2006/relationships/hyperlink" Target="https://login.consultant.ru/link/?req=doc&amp;base=LAW&amp;n=529278&amp;dst=100029" TargetMode = "External"/><Relationship Id="rId14" Type="http://schemas.openxmlformats.org/officeDocument/2006/relationships/hyperlink" Target="https://login.consultant.ru/link/?req=doc&amp;base=LAW&amp;n=453628&amp;dst=100006" TargetMode = "External"/><Relationship Id="rId15" Type="http://schemas.openxmlformats.org/officeDocument/2006/relationships/hyperlink" Target="https://login.consultant.ru/link/?req=doc&amp;base=LAW&amp;n=473292&amp;dst=100006" TargetMode = "External"/><Relationship Id="rId16" Type="http://schemas.openxmlformats.org/officeDocument/2006/relationships/hyperlink" Target="https://login.consultant.ru/link/?req=doc&amp;base=LAW&amp;n=497309&amp;dst=100006" TargetMode = "External"/><Relationship Id="rId17" Type="http://schemas.openxmlformats.org/officeDocument/2006/relationships/hyperlink" Target="https://login.consultant.ru/link/?req=doc&amp;base=LAW&amp;n=511302&amp;dst=100021" TargetMode = "External"/><Relationship Id="rId18" Type="http://schemas.openxmlformats.org/officeDocument/2006/relationships/hyperlink" Target="https://login.consultant.ru/link/?req=doc&amp;base=LAW&amp;n=511302&amp;dst=100028" TargetMode = "External"/><Relationship Id="rId19" Type="http://schemas.openxmlformats.org/officeDocument/2006/relationships/hyperlink" Target="https://login.consultant.ru/link/?req=doc&amp;base=LAW&amp;n=528398&amp;dst=100141" TargetMode = "External"/><Relationship Id="rId20" Type="http://schemas.openxmlformats.org/officeDocument/2006/relationships/hyperlink" Target="https://login.consultant.ru/link/?req=doc&amp;base=LAW&amp;n=528398&amp;dst=100365" TargetMode = "External"/><Relationship Id="rId21" Type="http://schemas.openxmlformats.org/officeDocument/2006/relationships/hyperlink" Target="https://login.consultant.ru/link/?req=doc&amp;base=LAW&amp;n=528398&amp;dst=210" TargetMode = "External"/><Relationship Id="rId22" Type="http://schemas.openxmlformats.org/officeDocument/2006/relationships/hyperlink" Target="https://login.consultant.ru/link/?req=doc&amp;base=LAW&amp;n=453628&amp;dst=100010" TargetMode = "External"/><Relationship Id="rId23" Type="http://schemas.openxmlformats.org/officeDocument/2006/relationships/hyperlink" Target="https://login.consultant.ru/link/?req=doc&amp;base=LAW&amp;n=485221&amp;dst=100015" TargetMode = "External"/><Relationship Id="rId24" Type="http://schemas.openxmlformats.org/officeDocument/2006/relationships/hyperlink" Target="https://login.consultant.ru/link/?req=doc&amp;base=LAW&amp;n=453628&amp;dst=100012" TargetMode = "External"/><Relationship Id="rId25" Type="http://schemas.openxmlformats.org/officeDocument/2006/relationships/hyperlink" Target="https://login.consultant.ru/link/?req=doc&amp;base=LAW&amp;n=473292&amp;dst=100010" TargetMode = "External"/><Relationship Id="rId26" Type="http://schemas.openxmlformats.org/officeDocument/2006/relationships/hyperlink" Target="https://login.consultant.ru/link/?req=doc&amp;base=LAW&amp;n=485221&amp;dst=100011" TargetMode = "External"/><Relationship Id="rId27" Type="http://schemas.openxmlformats.org/officeDocument/2006/relationships/hyperlink" Target="https://login.consultant.ru/link/?req=doc&amp;base=LAW&amp;n=473292&amp;dst=100012" TargetMode = "External"/><Relationship Id="rId28" Type="http://schemas.openxmlformats.org/officeDocument/2006/relationships/hyperlink" Target="https://login.consultant.ru/link/?req=doc&amp;base=LAW&amp;n=410664" TargetMode = "External"/><Relationship Id="rId29" Type="http://schemas.openxmlformats.org/officeDocument/2006/relationships/hyperlink" Target="https://login.consultant.ru/link/?req=doc&amp;base=LAW&amp;n=473292&amp;dst=100014" TargetMode = "External"/><Relationship Id="rId30" Type="http://schemas.openxmlformats.org/officeDocument/2006/relationships/hyperlink" Target="https://login.consultant.ru/link/?req=doc&amp;base=LAW&amp;n=477794" TargetMode = "External"/><Relationship Id="rId31" Type="http://schemas.openxmlformats.org/officeDocument/2006/relationships/hyperlink" Target="https://login.consultant.ru/link/?req=doc&amp;base=LAW&amp;n=477794&amp;dst=100013" TargetMode = "External"/><Relationship Id="rId32" Type="http://schemas.openxmlformats.org/officeDocument/2006/relationships/hyperlink" Target="https://login.consultant.ru/link/?req=doc&amp;base=LAW&amp;n=497309&amp;dst=100010" TargetMode = "External"/><Relationship Id="rId33" Type="http://schemas.openxmlformats.org/officeDocument/2006/relationships/hyperlink" Target="https://login.consultant.ru/link/?req=doc&amp;base=LAW&amp;n=528398&amp;dst=777" TargetMode = "External"/><Relationship Id="rId34" Type="http://schemas.openxmlformats.org/officeDocument/2006/relationships/hyperlink" Target="https://login.consultant.ru/link/?req=doc&amp;base=LAW&amp;n=497309&amp;dst=100012" TargetMode = "External"/><Relationship Id="rId35" Type="http://schemas.openxmlformats.org/officeDocument/2006/relationships/hyperlink" Target="https://login.consultant.ru/link/?req=doc&amp;base=LAW&amp;n=476745" TargetMode = "External"/><Relationship Id="rId36" Type="http://schemas.openxmlformats.org/officeDocument/2006/relationships/hyperlink" Target="https://login.consultant.ru/link/?req=doc&amp;base=LAW&amp;n=497309&amp;dst=10001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11.10.2021 N 697
(ред. от 17.12.2024)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рыболовства и сохранения водных биологических ресурсов"
(Зарегистрировано в Минюсте России 27.12.2021 N 66589)</dc:title>
  <dcterms:created xsi:type="dcterms:W3CDTF">2026-04-16T06:10:58Z</dcterms:created>
</cp:coreProperties>
</file>