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Минсельхоза России от 19.06.2024 N 327</w:t>
              <w:br/>
              <w:t xml:space="preserve">"Об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рыболовства"</w:t>
              <w:br/>
              <w:t xml:space="preserve">(Зарегистрировано в Минюсте России 05.09.2024 N 79392)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5 сентября 2024 г. N 79392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СЕЛЬСКОГО ХОЗЯЙСТВА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19 июня 2024 г. N 327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ФЕДЕРАЛЬНОГО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ОБЛАСТИ ТОРГОВОГО МОРЕПЛАВАНИЯ И ВНУТРЕННЕГО</w:t>
      </w:r>
    </w:p>
    <w:p>
      <w:pPr>
        <w:pStyle w:val="2"/>
        <w:jc w:val="center"/>
      </w:pPr>
      <w:r>
        <w:rPr>
          <w:sz w:val="20"/>
        </w:rPr>
        <w:t xml:space="preserve">ВОДНОГО ТРАНСПОРТА В ОТНОШЕНИИ ОБЕСПЕЧЕНИЯ БЕЗОПАСНОСТИ</w:t>
      </w:r>
    </w:p>
    <w:p>
      <w:pPr>
        <w:pStyle w:val="2"/>
        <w:jc w:val="center"/>
      </w:pPr>
      <w:r>
        <w:rPr>
          <w:sz w:val="20"/>
        </w:rPr>
        <w:t xml:space="preserve">ПЛАВАНИЯ СУДОВ РЫБОПРОМЫСЛОВОГО ФЛОТА В РАЙОНАХ</w:t>
      </w:r>
    </w:p>
    <w:p>
      <w:pPr>
        <w:pStyle w:val="2"/>
        <w:jc w:val="center"/>
      </w:pPr>
      <w:r>
        <w:rPr>
          <w:sz w:val="20"/>
        </w:rPr>
        <w:t xml:space="preserve">ПРОМЫСЛА ПРИ ОСУЩЕСТВЛЕНИИ РЫБОЛОВСТВА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Федерации", </w:t>
      </w:r>
      <w:hyperlink w:history="0" r:id="rId9" w:tooltip="Постановление Правительства РФ от 12.06.2008 N 450 (ред. от 19.03.2026) &quot;О Министерстве сельского хозяйства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и </w:t>
      </w:r>
      <w:hyperlink w:history="0" r:id="rId10" w:tooltip="Постановление Правительства РФ от 29.06.2021 N 1047 (ред. от 02.09.2025) &quot;Об утверждении Положения о федеральном государственном контроле (надзоре) в области торгового мореплавания и внутреннего водного транспорта&quot; {КонсультантПлюс}">
        <w:r>
          <w:rPr>
            <w:sz w:val="20"/>
            <w:color w:val="0000ff"/>
          </w:rPr>
          <w:t xml:space="preserve">подпунктом "б" пункта 3</w:t>
        </w:r>
      </w:hyperlink>
      <w:r>
        <w:rPr>
          <w:sz w:val="20"/>
        </w:rPr>
        <w:t xml:space="preserve"> Положения о федеральном государственном контроле (надзоре) в области торгового мореплавания и внутреннего водного транспорта, утвержденного постановлением Правительства Российской Федерации от 29 июня 2021 г. N 1047,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1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федерального государственного контроля (надзора)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О.Н.ЛУТ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Минсельхоза России</w:t>
      </w:r>
    </w:p>
    <w:p>
      <w:pPr>
        <w:pStyle w:val="0"/>
        <w:jc w:val="right"/>
      </w:pPr>
      <w:r>
        <w:rPr>
          <w:sz w:val="20"/>
        </w:rPr>
        <w:t xml:space="preserve">от 19 июня 2024 г. N 327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ФЕДЕРАЛЬНОГО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ОБЛАСТИ ТОРГОВОГО МОРЕПЛАВАНИЯ И ВНУТРЕННЕГО</w:t>
      </w:r>
    </w:p>
    <w:p>
      <w:pPr>
        <w:pStyle w:val="2"/>
        <w:jc w:val="center"/>
      </w:pPr>
      <w:r>
        <w:rPr>
          <w:sz w:val="20"/>
        </w:rPr>
        <w:t xml:space="preserve">ВОДНОГО ТРАНСПОРТА В ОТНОШЕНИИ ОБЕСПЕЧЕНИЯ БЕЗОПАСНОСТИ</w:t>
      </w:r>
    </w:p>
    <w:p>
      <w:pPr>
        <w:pStyle w:val="2"/>
        <w:jc w:val="center"/>
      </w:pPr>
      <w:r>
        <w:rPr>
          <w:sz w:val="20"/>
        </w:rPr>
        <w:t xml:space="preserve">ПЛАВАНИЯ СУДОВ РЫБОПРОМЫСЛОВОГО ФЛОТА В РАЙОНАХ</w:t>
      </w:r>
    </w:p>
    <w:p>
      <w:pPr>
        <w:pStyle w:val="2"/>
        <w:jc w:val="center"/>
      </w:pPr>
      <w:r>
        <w:rPr>
          <w:sz w:val="20"/>
        </w:rPr>
        <w:t xml:space="preserve">ПРОМЫСЛА ПРИ ОСУЩЕСТВЛЕНИИ РЫБОЛОВСТВА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Наличие у должностных лиц Федерального агентства по рыболовству (его территориальных органов) &lt;1&gt; информации о выявлении в течение календарного года факта изъятия у двух или более судов рыбопромыслового флота одного судовладельца свидетельства об управлении безопасностью &lt;2&gt; по причине несоответствия требованиям Международного </w:t>
      </w:r>
      <w:hyperlink w:history="0" r:id="rId11" w:tooltip="Ссылка на КонсультантПлюс">
        <w:r>
          <w:rPr>
            <w:sz w:val="20"/>
            <w:color w:val="0000ff"/>
          </w:rPr>
          <w:t xml:space="preserve">кодекса</w:t>
        </w:r>
      </w:hyperlink>
      <w:r>
        <w:rPr>
          <w:sz w:val="20"/>
        </w:rPr>
        <w:t xml:space="preserve"> по управлению безопасной эксплуатацией судов и предотвращением загрязнения.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риказ Минсельхоза России от 28.04.2015 N 166 (ред. от 23.04.2020) &quot;О реализации постановления Правительства Российской Федерации от 8 октября 2012 г. N 1023 &quot;О реализации положений главы IX приложения к Международной конвенции по охране человеческой жизни на море 1974 года и Международного кодекса по управлению безопасной эксплуатацией судов и предотвращением загрязнения&quot; (вместе с &quot;Порядком освидетельствования рыболовных судов и их судовладельцев на соответствие требованиям Международного кодекса по управ {КонсультантПлюс}">
        <w:r>
          <w:rPr>
            <w:sz w:val="20"/>
            <w:color w:val="0000ff"/>
          </w:rPr>
          <w:t xml:space="preserve">Пункт 15</w:t>
        </w:r>
      </w:hyperlink>
      <w:r>
        <w:rPr>
          <w:sz w:val="20"/>
        </w:rPr>
        <w:t xml:space="preserve"> Порядка выдачи рыболовному судну свидетельства об управлении безопасностью и изъятия такого свидетельства, утвержденного приказом Минсельхоза России от 28 апреля 2015 г. N 166 (зарегистрирован Минюстом России 15 октября 2015 г., регистрационный N 39331), с изменением, внесенным приказом Минсельхоза России от 23 апреля 2020 г. N 223 (зарегистрирован Минюстом России 16 июля 2020 г., регистрационный N 58973).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Ссылка на КонсультантПлюс">
        <w:r>
          <w:rPr>
            <w:sz w:val="20"/>
            <w:color w:val="0000ff"/>
          </w:rPr>
          <w:t xml:space="preserve">Пункт 1.1.6</w:t>
        </w:r>
      </w:hyperlink>
      <w:r>
        <w:rPr>
          <w:sz w:val="20"/>
        </w:rPr>
        <w:t xml:space="preserve"> Международного кодекса по управлению безопасной эксплуатацией судов и предотвращением загрязнения, ратифицированного Резолюцией Ассамблеи Международной морской организации от 4 ноября 1993 г. N А.741(18) "Международный кодекс по управлению безопасной эксплуатацией судов и предотвращением загрязнения (Международный кодекс по управлению безопасностью (МКУБ)". Является обязательной для Российской Федерации в соответствии с </w:t>
      </w:r>
      <w:hyperlink w:history="0" r:id="rId14" w:tooltip="Ссылка на КонсультантПлюс">
        <w:r>
          <w:rPr>
            <w:sz w:val="20"/>
            <w:color w:val="0000ff"/>
          </w:rPr>
          <w:t xml:space="preserve">Конвенцией</w:t>
        </w:r>
      </w:hyperlink>
      <w:r>
        <w:rPr>
          <w:sz w:val="20"/>
        </w:rPr>
        <w:t xml:space="preserve"> о Международной морской организации от 6 марта 1948 г. Конвенция вступила в силу для СССР 20 декабря 1975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Наличие у должностных лиц Федерального агентства по рыболовству (его территориальных органов) &lt;3&gt; информации о выявлении в течение 180 календарных дней со дня вынесения капитаном морского порта решения об отказе на выход судна рыбопромыслового флота из морского порта &lt;4&gt; (далее - отказ) случая повторного отказа данному судну или отказа другому судну рыбопромыслового флота одного и того же судовладельца по причине наличия недостатков судна рыбопромыслового флота, создающих угрозу безопасности его плавания, жизни или здоровью находящихся на судне людей либо угрозу причинения ущерба морской среде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5" w:tooltip="Постановление Правительства РФ от 11.06.2008 N 444 (ред. от 31.07.2025) &quot;О Федеральном агентстве по рыболовству&quot; {КонсультантПлюс}">
        <w:r>
          <w:rPr>
            <w:sz w:val="20"/>
            <w:color w:val="0000ff"/>
          </w:rPr>
          <w:t xml:space="preserve">Пункты 1</w:t>
        </w:r>
      </w:hyperlink>
      <w:r>
        <w:rPr>
          <w:sz w:val="20"/>
        </w:rPr>
        <w:t xml:space="preserve"> и </w:t>
      </w:r>
      <w:hyperlink w:history="0" r:id="rId16" w:tooltip="Постановление Правительства РФ от 11.06.2008 N 444 (ред. от 31.07.2025) &quot;О Федеральном агентстве по рыболовству&quot; {КонсультантПлюс}">
        <w:r>
          <w:rPr>
            <w:sz w:val="20"/>
            <w:color w:val="0000ff"/>
          </w:rPr>
          <w:t xml:space="preserve">4</w:t>
        </w:r>
      </w:hyperlink>
      <w:r>
        <w:rPr>
          <w:sz w:val="20"/>
        </w:rPr>
        <w:t xml:space="preserve"> Положения о Федеральном агентстве по рыболовству, утвержденного постановлением Правительства Российской Федерации от 11 июня 2008 г. N 444; </w:t>
      </w:r>
      <w:hyperlink w:history="0" r:id="rId17" w:tooltip="Приказ Минтранса России от 12.11.2021 N 395 (ред. от 23.12.2025) &quot;Об утверждении Общих правил плавания и стоянки судов в морских портах Российской Федерации и на подходах к ним&quot; (Зарегистрировано в Минюсте России 01.06.2022 N 68677) {КонсультантПлюс}">
        <w:r>
          <w:rPr>
            <w:sz w:val="20"/>
            <w:color w:val="0000ff"/>
          </w:rPr>
          <w:t xml:space="preserve">пункт 51</w:t>
        </w:r>
      </w:hyperlink>
      <w:r>
        <w:rPr>
          <w:sz w:val="20"/>
        </w:rPr>
        <w:t xml:space="preserve"> Общих правил плавания и стоянки судов в морских портах Российской Федерации и на подходах к ним, утвержденных приказом Минтранса России от 12 ноября 2021 г. N 395 (зарегистрирован Минюстом России 1 июня 2022 г., регистрационный N 68677), с изменениями, внесенными приказом Минтранса России от 04.12.2023 N 396 (зарегистрирован Минюстом России 11 марта 2024 г., регистрационный N 77468). Согласно </w:t>
      </w:r>
      <w:hyperlink w:history="0" r:id="rId18" w:tooltip="Приказ Минтранса России от 12.11.2021 N 395 (ред. от 23.12.2025) &quot;Об утверждении Общих правил плавания и стоянки судов в морских портах Российской Федерации и на подходах к ним&quot; (Зарегистрировано в Минюсте России 01.06.2022 N 68677) {КонсультантПлюс}">
        <w:r>
          <w:rPr>
            <w:sz w:val="20"/>
            <w:color w:val="0000ff"/>
          </w:rPr>
          <w:t xml:space="preserve">пункту 3</w:t>
        </w:r>
      </w:hyperlink>
      <w:r>
        <w:rPr>
          <w:sz w:val="20"/>
        </w:rPr>
        <w:t xml:space="preserve"> приказа Минтранса России от 12 ноября 2021 г. N 395 данный акт действует до 1 сентября 2028 г.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9" w:tooltip="&quot;Кодекс торгового мореплавания Российской Федерации&quot; от 30.04.1999 N 81-ФЗ (ред. от 31.07.2025) {КонсультантПлюс}">
        <w:r>
          <w:rPr>
            <w:sz w:val="20"/>
            <w:color w:val="0000ff"/>
          </w:rPr>
          <w:t xml:space="preserve">Пункт 1 статьи 80</w:t>
        </w:r>
      </w:hyperlink>
      <w:r>
        <w:rPr>
          <w:sz w:val="20"/>
        </w:rPr>
        <w:t xml:space="preserve"> Кодекса торгового мореплавания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0" w:tooltip="&quot;Кодекс торгового мореплавания Российской Федерации&quot; от 30.04.1999 N 81-ФЗ (ред. от 31.07.2025) {КонсультантПлюс}">
        <w:r>
          <w:rPr>
            <w:sz w:val="20"/>
            <w:color w:val="0000ff"/>
          </w:rPr>
          <w:t xml:space="preserve">Подпункт 1 пункта 1 статьи 80</w:t>
        </w:r>
      </w:hyperlink>
      <w:r>
        <w:rPr>
          <w:sz w:val="20"/>
        </w:rPr>
        <w:t xml:space="preserve"> Кодекса торгового мореплавания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19.06.2024 N 327</w:t>
            <w:br/>
            <w:t>"Об утверждении перечня индикаторов риска нарушения обязательных требовани...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8984&amp;dst=100271" TargetMode = "External"/><Relationship Id="rId9" Type="http://schemas.openxmlformats.org/officeDocument/2006/relationships/hyperlink" Target="https://login.consultant.ru/link/?req=doc&amp;base=LAW&amp;n=529278&amp;dst=100029" TargetMode = "External"/><Relationship Id="rId10" Type="http://schemas.openxmlformats.org/officeDocument/2006/relationships/hyperlink" Target="https://login.consultant.ru/link/?req=doc&amp;base=LAW&amp;n=513805&amp;dst=100034" TargetMode = "External"/><Relationship Id="rId11" Type="http://schemas.openxmlformats.org/officeDocument/2006/relationships/hyperlink" Target="https://login.consultant.ru/link/?req=doc&amp;base=INT&amp;n=64046&amp;dst=100023" TargetMode = "External"/><Relationship Id="rId12" Type="http://schemas.openxmlformats.org/officeDocument/2006/relationships/hyperlink" Target="https://login.consultant.ru/link/?req=doc&amp;base=LAW&amp;n=357558&amp;dst=100239" TargetMode = "External"/><Relationship Id="rId13" Type="http://schemas.openxmlformats.org/officeDocument/2006/relationships/hyperlink" Target="https://login.consultant.ru/link/?req=doc&amp;base=INT&amp;n=64046&amp;dst=100127" TargetMode = "External"/><Relationship Id="rId14" Type="http://schemas.openxmlformats.org/officeDocument/2006/relationships/hyperlink" Target="https://login.consultant.ru/link/?req=doc&amp;base=INT&amp;n=15765" TargetMode = "External"/><Relationship Id="rId15" Type="http://schemas.openxmlformats.org/officeDocument/2006/relationships/hyperlink" Target="https://login.consultant.ru/link/?req=doc&amp;base=LAW&amp;n=511302&amp;dst=100021" TargetMode = "External"/><Relationship Id="rId16" Type="http://schemas.openxmlformats.org/officeDocument/2006/relationships/hyperlink" Target="https://login.consultant.ru/link/?req=doc&amp;base=LAW&amp;n=511302&amp;dst=100028" TargetMode = "External"/><Relationship Id="rId17" Type="http://schemas.openxmlformats.org/officeDocument/2006/relationships/hyperlink" Target="https://login.consultant.ru/link/?req=doc&amp;base=LAW&amp;n=526080&amp;dst=100268" TargetMode = "External"/><Relationship Id="rId18" Type="http://schemas.openxmlformats.org/officeDocument/2006/relationships/hyperlink" Target="https://login.consultant.ru/link/?req=doc&amp;base=LAW&amp;n=526080&amp;dst=100008" TargetMode = "External"/><Relationship Id="rId19" Type="http://schemas.openxmlformats.org/officeDocument/2006/relationships/hyperlink" Target="https://login.consultant.ru/link/?req=doc&amp;base=LAW&amp;n=511656&amp;dst=100448" TargetMode = "External"/><Relationship Id="rId20" Type="http://schemas.openxmlformats.org/officeDocument/2006/relationships/hyperlink" Target="https://login.consultant.ru/link/?req=doc&amp;base=LAW&amp;n=511656&amp;dst=332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19.06.2024 N 327
"Об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торгового мореплавания и внутреннего водного транспорта в отношении обеспечения безопасности плавания судов рыбопромыслового флота в районах промысла при осуществлении рыболовства"
(Зарегистрировано в Минюсте России 05.09.2024 N 79392)</dc:title>
  <dcterms:created xsi:type="dcterms:W3CDTF">2026-04-16T21:27:02Z</dcterms:created>
</cp:coreProperties>
</file>