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29.06.2021 N 1047</w:t>
              <w:br/>
              <w:t xml:space="preserve">(ред. от 02.09.2025)</w:t>
              <w:br/>
              <w:t xml:space="preserve">"Об утверждении Положения о федеральном государственном контроле (надзоре) в области торгового мореплавания и внутреннего водного транспорта"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29 июня 2021 г. N 1047</w:t>
      </w:r>
    </w:p>
    <w:p>
      <w:pPr>
        <w:pStyle w:val="2"/>
        <w:jc w:val="both"/>
      </w:pPr>
      <w:r>
        <w:rPr>
          <w:sz w:val="20"/>
        </w:rPr>
      </w:r>
    </w:p>
    <w:p>
      <w:pPr>
        <w:pStyle w:val="2"/>
        <w:jc w:val="center"/>
      </w:pPr>
      <w:r>
        <w:rPr>
          <w:sz w:val="20"/>
        </w:rPr>
        <w:t xml:space="preserve">ОБ УТВЕРЖДЕНИИ ПОЛОЖЕНИЯ</w:t>
      </w:r>
    </w:p>
    <w:p>
      <w:pPr>
        <w:pStyle w:val="2"/>
        <w:jc w:val="center"/>
      </w:pPr>
      <w:r>
        <w:rPr>
          <w:sz w:val="20"/>
        </w:rPr>
        <w:t xml:space="preserve">О ФЕДЕРАЛЬНОМ ГОСУДАРСТВЕННОМ КОНТРОЛЕ (НАДЗОРЕ) В ОБЛАСТИ</w:t>
      </w:r>
    </w:p>
    <w:p>
      <w:pPr>
        <w:pStyle w:val="2"/>
        <w:jc w:val="center"/>
      </w:pPr>
      <w:r>
        <w:rPr>
          <w:sz w:val="20"/>
        </w:rPr>
        <w:t xml:space="preserve">ТОРГОВОГО МОРЕПЛАВАНИЯ И ВНУТРЕННЕГО ВОДНОГО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22.09.2021 </w:t>
            </w:r>
            <w:hyperlink w:history="0" r:id="rId8" w:tooltip="Постановление Правительства РФ от 22.09.2021 N 1596 (ред. от 02.09.2025) &quot;О внесении изменений в некоторые акты Правительства Российской Федерации и о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N 1596</w:t>
              </w:r>
            </w:hyperlink>
            <w:r>
              <w:rPr>
                <w:sz w:val="20"/>
                <w:color w:val="392c69"/>
              </w:rPr>
              <w:t xml:space="preserve">,</w:t>
            </w:r>
          </w:p>
          <w:p>
            <w:pPr>
              <w:pStyle w:val="0"/>
              <w:jc w:val="center"/>
            </w:pPr>
            <w:r>
              <w:rPr>
                <w:sz w:val="20"/>
                <w:color w:val="392c69"/>
              </w:rPr>
              <w:t xml:space="preserve">от 30.11.2021 </w:t>
            </w:r>
            <w:hyperlink w:history="0" r:id="rId9" w:tooltip="Постановление Правительства РФ от 30.11.2021 N 2112 &quot;О внесении изменений в постановление Правительства Российской Федерации от 29 июня 2021 г. N 1047&quot; {КонсультантПлюс}">
              <w:r>
                <w:rPr>
                  <w:sz w:val="20"/>
                  <w:color w:val="0000ff"/>
                </w:rPr>
                <w:t xml:space="preserve">N 2112</w:t>
              </w:r>
            </w:hyperlink>
            <w:r>
              <w:rPr>
                <w:sz w:val="20"/>
                <w:color w:val="392c69"/>
              </w:rPr>
              <w:t xml:space="preserve">, от 02.09.2025 </w:t>
            </w:r>
            <w:hyperlink w:history="0" r:id="rId10"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N 1354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4" w:tooltip="ПОЛОЖЕНИЕ">
        <w:r>
          <w:rPr>
            <w:sz w:val="20"/>
            <w:color w:val="0000ff"/>
          </w:rPr>
          <w:t xml:space="preserve">Положение</w:t>
        </w:r>
      </w:hyperlink>
      <w:r>
        <w:rPr>
          <w:sz w:val="20"/>
        </w:rPr>
        <w:t xml:space="preserve"> о федеральном государственном контроле (надзоре) в области торгового мореплавания и внутреннего водного транспорта;</w:t>
      </w:r>
    </w:p>
    <w:p>
      <w:pPr>
        <w:pStyle w:val="0"/>
        <w:spacing w:before="200" w:lineRule="auto"/>
        <w:ind w:firstLine="540"/>
        <w:jc w:val="both"/>
      </w:pPr>
      <w:r>
        <w:rPr>
          <w:sz w:val="20"/>
        </w:rPr>
        <w:t xml:space="preserve">абзац утратил силу. - </w:t>
      </w:r>
      <w:hyperlink w:history="0" r:id="rId11" w:tooltip="Постановление Правительства РФ от 22.09.2021 N 1596 (ред. от 02.09.2025) &quot;О внесении изменений в некоторые акты Правительства Российской Федерации и о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22.09.2021 N 1596.</w:t>
      </w:r>
    </w:p>
    <w:p>
      <w:pPr>
        <w:pStyle w:val="0"/>
        <w:spacing w:before="200" w:lineRule="auto"/>
        <w:ind w:firstLine="540"/>
        <w:jc w:val="both"/>
      </w:pPr>
      <w:r>
        <w:rPr>
          <w:sz w:val="20"/>
        </w:rPr>
        <w:t xml:space="preserve">2. Установить, что реализация полномочий, предусмотренных настоящим постановлением, осуществляется Федеральной службой по надзору в сфере транспорта и Федеральным агентством по рыболовству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транспорта, Федерального агентства по рыболовству, а также бюджетных ассигнований, предусмотренных Федеральной службе по надзору в сфере транспорта и Федеральному агентству по рыболовству на руководство и управление в сфере установленных функций.</w:t>
      </w:r>
    </w:p>
    <w:p>
      <w:pPr>
        <w:pStyle w:val="0"/>
        <w:spacing w:before="200" w:lineRule="auto"/>
        <w:ind w:firstLine="540"/>
        <w:jc w:val="both"/>
      </w:pPr>
      <w:r>
        <w:rPr>
          <w:sz w:val="20"/>
        </w:rPr>
        <w:t xml:space="preserve">3. Признать утратившими силу </w:t>
      </w:r>
      <w:hyperlink w:history="0" r:id="rId12" w:tooltip="Постановление Правительства РФ от 27.06.2018 N 739 &quot;О внесении изменений в Положение о федеральном государственном транспортном надзоре&quot; ------------ Утратил силу или отменен {КонсультантПлюс}">
        <w:r>
          <w:rPr>
            <w:sz w:val="20"/>
            <w:color w:val="0000ff"/>
          </w:rPr>
          <w:t xml:space="preserve">абзацы четвертый</w:t>
        </w:r>
      </w:hyperlink>
      <w:r>
        <w:rPr>
          <w:sz w:val="20"/>
        </w:rPr>
        <w:t xml:space="preserve"> и </w:t>
      </w:r>
      <w:hyperlink w:history="0" r:id="rId13" w:tooltip="Постановление Правительства РФ от 27.06.2018 N 739 &quot;О внесении изменений в Положение о федеральном государственном транспортном надзоре&quot; ------------ Утратил силу или отменен {КонсультантПлюс}">
        <w:r>
          <w:rPr>
            <w:sz w:val="20"/>
            <w:color w:val="0000ff"/>
          </w:rPr>
          <w:t xml:space="preserve">пятый подпункта "в"</w:t>
        </w:r>
      </w:hyperlink>
      <w:r>
        <w:rPr>
          <w:sz w:val="20"/>
        </w:rPr>
        <w:t xml:space="preserve"> постановления Правительства Российской Федерации от 27 июня 2018 г. N 739 "О внесении изменений в Положение о федеральном государственном транспортном надзоре" (Собрание законодательства Российской Федерации, 2018, N 27, ст. 4090).</w:t>
      </w:r>
    </w:p>
    <w:p>
      <w:pPr>
        <w:pStyle w:val="0"/>
        <w:spacing w:before="200" w:lineRule="auto"/>
        <w:ind w:firstLine="540"/>
        <w:jc w:val="both"/>
      </w:pPr>
      <w:r>
        <w:rPr>
          <w:sz w:val="20"/>
        </w:rPr>
        <w:t xml:space="preserve">4. Настоящее постановление вступает в силу с 1 июля 2021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июня 2021 г. N 1047</w:t>
      </w:r>
    </w:p>
    <w:p>
      <w:pPr>
        <w:pStyle w:val="0"/>
        <w:jc w:val="both"/>
      </w:pPr>
      <w:r>
        <w:rPr>
          <w:sz w:val="20"/>
        </w:rPr>
      </w:r>
    </w:p>
    <w:bookmarkStart w:id="34" w:name="P34"/>
    <w:bookmarkEnd w:id="34"/>
    <w:p>
      <w:pPr>
        <w:pStyle w:val="2"/>
        <w:jc w:val="center"/>
      </w:pPr>
      <w:r>
        <w:rPr>
          <w:sz w:val="20"/>
        </w:rPr>
        <w:t xml:space="preserve">ПОЛОЖЕНИЕ</w:t>
      </w:r>
    </w:p>
    <w:p>
      <w:pPr>
        <w:pStyle w:val="2"/>
        <w:jc w:val="center"/>
      </w:pPr>
      <w:r>
        <w:rPr>
          <w:sz w:val="20"/>
        </w:rPr>
        <w:t xml:space="preserve">О ФЕДЕРАЛЬНОМ ГОСУДАРСТВЕННОМ КОНТРОЛЕ (НАДЗОРЕ) В ОБЛАСТИ</w:t>
      </w:r>
    </w:p>
    <w:p>
      <w:pPr>
        <w:pStyle w:val="2"/>
        <w:jc w:val="center"/>
      </w:pPr>
      <w:r>
        <w:rPr>
          <w:sz w:val="20"/>
        </w:rPr>
        <w:t xml:space="preserve">ТОРГОВОГО МОРЕПЛАВАНИЯ И ВНУТРЕННЕГО ВОДНОГО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22.09.2021 </w:t>
            </w:r>
            <w:hyperlink w:history="0" r:id="rId14" w:tooltip="Постановление Правительства РФ от 22.09.2021 N 1596 (ред. от 02.09.2025) &quot;О внесении изменений в некоторые акты Правительства Российской Федерации и о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N 1596</w:t>
              </w:r>
            </w:hyperlink>
            <w:r>
              <w:rPr>
                <w:sz w:val="20"/>
                <w:color w:val="392c69"/>
              </w:rPr>
              <w:t xml:space="preserve">,</w:t>
            </w:r>
          </w:p>
          <w:p>
            <w:pPr>
              <w:pStyle w:val="0"/>
              <w:jc w:val="center"/>
            </w:pPr>
            <w:r>
              <w:rPr>
                <w:sz w:val="20"/>
                <w:color w:val="392c69"/>
              </w:rPr>
              <w:t xml:space="preserve">от 30.11.2021 </w:t>
            </w:r>
            <w:hyperlink w:history="0" r:id="rId15" w:tooltip="Постановление Правительства РФ от 30.11.2021 N 2112 &quot;О внесении изменений в постановление Правительства Российской Федерации от 29 июня 2021 г. N 1047&quot; {КонсультантПлюс}">
              <w:r>
                <w:rPr>
                  <w:sz w:val="20"/>
                  <w:color w:val="0000ff"/>
                </w:rPr>
                <w:t xml:space="preserve">N 2112</w:t>
              </w:r>
            </w:hyperlink>
            <w:r>
              <w:rPr>
                <w:sz w:val="20"/>
                <w:color w:val="392c69"/>
              </w:rPr>
              <w:t xml:space="preserve">, от 02.09.2025 </w:t>
            </w:r>
            <w:hyperlink w:history="0" r:id="rId16"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N 1354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федерального государственного контроля (надзора) в области торгового мореплавания и внутреннего водного транспорта (далее - федеральный контроль).</w:t>
      </w:r>
    </w:p>
    <w:p>
      <w:pPr>
        <w:pStyle w:val="0"/>
        <w:spacing w:before="200" w:lineRule="auto"/>
        <w:ind w:firstLine="540"/>
        <w:jc w:val="both"/>
      </w:pPr>
      <w:r>
        <w:rPr>
          <w:sz w:val="20"/>
        </w:rPr>
        <w:t xml:space="preserve">2. Предметом федерального контроля является:</w:t>
      </w:r>
    </w:p>
    <w:p>
      <w:pPr>
        <w:pStyle w:val="0"/>
        <w:spacing w:before="200" w:lineRule="auto"/>
        <w:ind w:firstLine="540"/>
        <w:jc w:val="both"/>
      </w:pPr>
      <w:r>
        <w:rPr>
          <w:sz w:val="20"/>
        </w:rPr>
        <w:t xml:space="preserve">а) соблюдение юридическими лицами, индивидуальными предпринимателями и гражданами (далее - контролируемые лица) обязательных требований, установленных международными договорами Российской Федерации в области торгового мореплавания и судоходства, </w:t>
      </w:r>
      <w:hyperlink w:history="0" r:id="rId17" w:tooltip="&quot;Кодекс торгового мореплавания Российской Федерации&quot; от 30.04.1999 N 81-ФЗ (ред. от 31.07.2025) {КонсультантПлюс}">
        <w:r>
          <w:rPr>
            <w:sz w:val="20"/>
            <w:color w:val="0000ff"/>
          </w:rPr>
          <w:t xml:space="preserve">Кодексом</w:t>
        </w:r>
      </w:hyperlink>
      <w:r>
        <w:rPr>
          <w:sz w:val="20"/>
        </w:rPr>
        <w:t xml:space="preserve"> торгового мореплавания Российской Федерации, </w:t>
      </w:r>
      <w:hyperlink w:history="0" r:id="rId18"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Кодексом</w:t>
        </w:r>
      </w:hyperlink>
      <w:r>
        <w:rPr>
          <w:sz w:val="20"/>
        </w:rPr>
        <w:t xml:space="preserve"> внутреннего водного транспорта Российской Федерации, другими федеральными законами и принимаемыми в соответствии с ними иными нормативными правовыми актами Российской Федерации в области безопасности торгового мореплавания, внутреннего водного транспорта, безопасности судоходных и портовых гидротехнических сооружений (далее - обязательные требования), в том числе требований:</w:t>
      </w:r>
    </w:p>
    <w:p>
      <w:pPr>
        <w:pStyle w:val="0"/>
        <w:spacing w:before="200" w:lineRule="auto"/>
        <w:ind w:firstLine="540"/>
        <w:jc w:val="both"/>
      </w:pPr>
      <w:r>
        <w:rPr>
          <w:sz w:val="20"/>
        </w:rPr>
        <w:t xml:space="preserve">к обеспечению пожарной безопасности при эксплуатации морских судов, судов внутреннего водного транспорта, судов смешанного (река-море) плавания, иных плавучих объектов морского и внутреннего водного транспорта;</w:t>
      </w:r>
    </w:p>
    <w:p>
      <w:pPr>
        <w:pStyle w:val="0"/>
        <w:spacing w:before="200" w:lineRule="auto"/>
        <w:ind w:firstLine="540"/>
        <w:jc w:val="both"/>
      </w:pPr>
      <w:r>
        <w:rPr>
          <w:sz w:val="20"/>
        </w:rPr>
        <w:t xml:space="preserve">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pPr>
        <w:pStyle w:val="0"/>
        <w:spacing w:before="200" w:lineRule="auto"/>
        <w:ind w:firstLine="540"/>
        <w:jc w:val="both"/>
      </w:pPr>
      <w:r>
        <w:rPr>
          <w:sz w:val="20"/>
        </w:rPr>
        <w:t xml:space="preserve">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во внутренних морских водах и на внутренних водных путях с судов и объектов морского и речного транспорта независимо от их ведомственной и национальной принадлежности;</w:t>
      </w:r>
    </w:p>
    <w:p>
      <w:pPr>
        <w:pStyle w:val="0"/>
        <w:spacing w:before="200" w:lineRule="auto"/>
        <w:ind w:firstLine="540"/>
        <w:jc w:val="both"/>
      </w:pPr>
      <w:r>
        <w:rPr>
          <w:sz w:val="20"/>
        </w:rPr>
        <w:t xml:space="preserve">к обеспечению доступности для инвалидов объектов транспортной инфраструктуры морского пассажирского и внутреннего водного транспорта и предоставляемых услуг;</w:t>
      </w:r>
    </w:p>
    <w:p>
      <w:pPr>
        <w:pStyle w:val="0"/>
        <w:spacing w:before="200" w:lineRule="auto"/>
        <w:ind w:firstLine="540"/>
        <w:jc w:val="both"/>
      </w:pPr>
      <w:r>
        <w:rPr>
          <w:sz w:val="20"/>
        </w:rPr>
        <w:t xml:space="preserve">к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к организации и осуществлению лоцманской проводки морских судов и судов по внутренним водным путям;</w:t>
      </w:r>
    </w:p>
    <w:p>
      <w:pPr>
        <w:pStyle w:val="0"/>
        <w:spacing w:before="200" w:lineRule="auto"/>
        <w:ind w:firstLine="540"/>
        <w:jc w:val="both"/>
      </w:pPr>
      <w:r>
        <w:rPr>
          <w:sz w:val="20"/>
        </w:rPr>
        <w:t xml:space="preserve">к обеспечению безопасности плавания судов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к обеспечению безопасности судоходных и портовых гидротехнических сооружений;</w:t>
      </w:r>
    </w:p>
    <w:p>
      <w:pPr>
        <w:pStyle w:val="0"/>
        <w:spacing w:before="200" w:lineRule="auto"/>
        <w:ind w:firstLine="540"/>
        <w:jc w:val="both"/>
      </w:pPr>
      <w:r>
        <w:rPr>
          <w:sz w:val="20"/>
        </w:rPr>
        <w:t xml:space="preserve">б)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pPr>
        <w:pStyle w:val="0"/>
        <w:spacing w:before="200" w:lineRule="auto"/>
        <w:ind w:firstLine="540"/>
        <w:jc w:val="both"/>
      </w:pPr>
      <w:r>
        <w:rPr>
          <w:sz w:val="20"/>
        </w:rPr>
        <w:t xml:space="preserve">в) соблюдение капитанами бассейнов внутренних водных путей требований к деятельности по осуществлению государственного портового контроля;</w:t>
      </w:r>
    </w:p>
    <w:p>
      <w:pPr>
        <w:pStyle w:val="0"/>
        <w:spacing w:before="200" w:lineRule="auto"/>
        <w:ind w:firstLine="540"/>
        <w:jc w:val="both"/>
      </w:pPr>
      <w:r>
        <w:rPr>
          <w:sz w:val="20"/>
        </w:rPr>
        <w:t xml:space="preserve">г)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pPr>
        <w:pStyle w:val="0"/>
        <w:spacing w:before="200" w:lineRule="auto"/>
        <w:ind w:firstLine="540"/>
        <w:jc w:val="both"/>
      </w:pPr>
      <w:r>
        <w:rPr>
          <w:sz w:val="20"/>
        </w:rPr>
        <w:t xml:space="preserve">д) соблюдение юридическими лицами, индивидуальными предпринимателями (лицензиатами), осуществляющими деятельность по перевозкам внутренним водным транспортом, морским транспортом пассажиров, деятельность по перевозкам внутренним водным транспортом,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осуществляющих погрузочно-разгрузочную деятельность применительно к опасным грузам на внутреннем водном транспорте, в морских портах, лицензионных требований к соответствующим видам деятельности;</w:t>
      </w:r>
    </w:p>
    <w:p>
      <w:pPr>
        <w:pStyle w:val="0"/>
        <w:spacing w:before="200" w:lineRule="auto"/>
        <w:ind w:firstLine="540"/>
        <w:jc w:val="both"/>
      </w:pPr>
      <w:r>
        <w:rPr>
          <w:sz w:val="20"/>
        </w:rPr>
        <w:t xml:space="preserve">е) исполнение решений, принимаемых по результатам контрольных (надзорных) мероприятий;</w:t>
      </w:r>
    </w:p>
    <w:p>
      <w:pPr>
        <w:pStyle w:val="0"/>
        <w:spacing w:before="200" w:lineRule="auto"/>
        <w:ind w:firstLine="540"/>
        <w:jc w:val="both"/>
      </w:pPr>
      <w:r>
        <w:rPr>
          <w:sz w:val="20"/>
        </w:rPr>
        <w:t xml:space="preserve">ж) соблюдение изготовителем, исполнителем (лицом, выполняющим функции иностранного изготовителя), продавцом требований технического </w:t>
      </w:r>
      <w:hyperlink w:history="0" r:id="rId19"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регламента</w:t>
        </w:r>
      </w:hyperlink>
      <w:r>
        <w:rPr>
          <w:sz w:val="20"/>
        </w:rPr>
        <w:t xml:space="preserve"> о безопасности объектов морского транспорта, утвержденного постановлением Правительства Российской Федерации от 12 августа 2010 г. N 620 "Об утверждении технического регламента о безопасности объектов морского транспорта" (в отношении объектов федерального контроля, указанных в </w:t>
      </w:r>
      <w:hyperlink w:history="0" w:anchor="P79" w:tooltip="б) деятельность по перевозке опасных грузов морским и внутренним водным транспортом;">
        <w:r>
          <w:rPr>
            <w:sz w:val="20"/>
            <w:color w:val="0000ff"/>
          </w:rPr>
          <w:t xml:space="preserve">подпункте "б" пункта 7</w:t>
        </w:r>
      </w:hyperlink>
      <w:r>
        <w:rPr>
          <w:sz w:val="20"/>
        </w:rPr>
        <w:t xml:space="preserve"> настоящего Положения, - </w:t>
      </w:r>
      <w:hyperlink w:history="0" r:id="rId20"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пункт 97</w:t>
        </w:r>
      </w:hyperlink>
      <w:r>
        <w:rPr>
          <w:sz w:val="20"/>
        </w:rPr>
        <w:t xml:space="preserve"> указанного регламента; в отношении объектов федерального контроля, указанных в </w:t>
      </w:r>
      <w:hyperlink w:history="0" w:anchor="P82" w:tooltip="д) судоходные и портовые гидротехнические сооружения и деятельность по их эксплуатации;">
        <w:r>
          <w:rPr>
            <w:sz w:val="20"/>
            <w:color w:val="0000ff"/>
          </w:rPr>
          <w:t xml:space="preserve">подпункте "д" пункта 7</w:t>
        </w:r>
      </w:hyperlink>
      <w:r>
        <w:rPr>
          <w:sz w:val="20"/>
        </w:rPr>
        <w:t xml:space="preserve"> настоящего Положения, - </w:t>
      </w:r>
      <w:hyperlink w:history="0" r:id="rId21"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подпункты "а",</w:t>
        </w:r>
      </w:hyperlink>
      <w:r>
        <w:rPr>
          <w:sz w:val="20"/>
        </w:rPr>
        <w:t xml:space="preserve"> </w:t>
      </w:r>
      <w:hyperlink w:history="0" r:id="rId22"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"в"</w:t>
        </w:r>
      </w:hyperlink>
      <w:r>
        <w:rPr>
          <w:sz w:val="20"/>
        </w:rPr>
        <w:t xml:space="preserve">, </w:t>
      </w:r>
      <w:hyperlink w:history="0" r:id="rId23"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"д" пункта 184</w:t>
        </w:r>
      </w:hyperlink>
      <w:r>
        <w:rPr>
          <w:sz w:val="20"/>
        </w:rPr>
        <w:t xml:space="preserve">, </w:t>
      </w:r>
      <w:hyperlink w:history="0" r:id="rId24"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пункты 187</w:t>
        </w:r>
      </w:hyperlink>
      <w:r>
        <w:rPr>
          <w:sz w:val="20"/>
        </w:rPr>
        <w:t xml:space="preserve"> - </w:t>
      </w:r>
      <w:hyperlink w:history="0" r:id="rId25"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190</w:t>
        </w:r>
      </w:hyperlink>
      <w:r>
        <w:rPr>
          <w:sz w:val="20"/>
        </w:rPr>
        <w:t xml:space="preserve">, </w:t>
      </w:r>
      <w:hyperlink w:history="0" r:id="rId26"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подпункты "а",</w:t>
        </w:r>
      </w:hyperlink>
      <w:r>
        <w:rPr>
          <w:sz w:val="20"/>
        </w:rPr>
        <w:t xml:space="preserve"> </w:t>
      </w:r>
      <w:hyperlink w:history="0" r:id="rId27"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"г" пункта 191</w:t>
        </w:r>
      </w:hyperlink>
      <w:r>
        <w:rPr>
          <w:sz w:val="20"/>
        </w:rPr>
        <w:t xml:space="preserve">, </w:t>
      </w:r>
      <w:hyperlink w:history="0" r:id="rId28"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пункты 192</w:t>
        </w:r>
      </w:hyperlink>
      <w:r>
        <w:rPr>
          <w:sz w:val="20"/>
        </w:rPr>
        <w:t xml:space="preserve"> - </w:t>
      </w:r>
      <w:hyperlink w:history="0" r:id="rId29"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196</w:t>
        </w:r>
      </w:hyperlink>
      <w:r>
        <w:rPr>
          <w:sz w:val="20"/>
        </w:rPr>
        <w:t xml:space="preserve">, </w:t>
      </w:r>
      <w:hyperlink w:history="0" r:id="rId30"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198</w:t>
        </w:r>
      </w:hyperlink>
      <w:r>
        <w:rPr>
          <w:sz w:val="20"/>
        </w:rPr>
        <w:t xml:space="preserve">, </w:t>
      </w:r>
      <w:hyperlink w:history="0" r:id="rId31"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201</w:t>
        </w:r>
      </w:hyperlink>
      <w:r>
        <w:rPr>
          <w:sz w:val="20"/>
        </w:rPr>
        <w:t xml:space="preserve">, </w:t>
      </w:r>
      <w:hyperlink w:history="0" r:id="rId32"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206</w:t>
        </w:r>
      </w:hyperlink>
      <w:r>
        <w:rPr>
          <w:sz w:val="20"/>
        </w:rPr>
        <w:t xml:space="preserve">, </w:t>
      </w:r>
      <w:hyperlink w:history="0" r:id="rId33"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209</w:t>
        </w:r>
      </w:hyperlink>
      <w:r>
        <w:rPr>
          <w:sz w:val="20"/>
        </w:rPr>
        <w:t xml:space="preserve">, </w:t>
      </w:r>
      <w:hyperlink w:history="0" r:id="rId34"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подпункт "г" пункта 220</w:t>
        </w:r>
      </w:hyperlink>
      <w:r>
        <w:rPr>
          <w:sz w:val="20"/>
        </w:rPr>
        <w:t xml:space="preserve">, </w:t>
      </w:r>
      <w:hyperlink w:history="0" r:id="rId35"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пункты 224</w:t>
        </w:r>
      </w:hyperlink>
      <w:r>
        <w:rPr>
          <w:sz w:val="20"/>
        </w:rPr>
        <w:t xml:space="preserve">, </w:t>
      </w:r>
      <w:hyperlink w:history="0" r:id="rId36"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229</w:t>
        </w:r>
      </w:hyperlink>
      <w:r>
        <w:rPr>
          <w:sz w:val="20"/>
        </w:rPr>
        <w:t xml:space="preserve">, </w:t>
      </w:r>
      <w:hyperlink w:history="0" r:id="rId37"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230</w:t>
        </w:r>
      </w:hyperlink>
      <w:r>
        <w:rPr>
          <w:sz w:val="20"/>
        </w:rPr>
        <w:t xml:space="preserve">, </w:t>
      </w:r>
      <w:hyperlink w:history="0" r:id="rId38" w:tooltip="Постановление Правительства РФ от 12.08.2010 N 620 (ред. от 07.10.2019) &quot;Об утверждении технического регламента о безопасности объектов морского транспорта&quot; ------------ Утратил силу или отменен {КонсультантПлюс}">
        <w:r>
          <w:rPr>
            <w:sz w:val="20"/>
            <w:color w:val="0000ff"/>
          </w:rPr>
          <w:t xml:space="preserve">подпункт "к" пункта 239</w:t>
        </w:r>
      </w:hyperlink>
      <w:r>
        <w:rPr>
          <w:sz w:val="20"/>
        </w:rPr>
        <w:t xml:space="preserve"> указанного регламента), и технического </w:t>
      </w:r>
      <w:hyperlink w:history="0" r:id="rId39"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регламента</w:t>
        </w:r>
      </w:hyperlink>
      <w:r>
        <w:rPr>
          <w:sz w:val="20"/>
        </w:rP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"Об утверждении технического регламента о безопасности объектов внутреннего водного транспорта" (в отношении объектов федерального контроля, указанных в </w:t>
      </w:r>
      <w:hyperlink w:history="0" w:anchor="P78" w:tooltip="а) деятельность по перевозке пассажиров морским и внутренним водным транспортом;">
        <w:r>
          <w:rPr>
            <w:sz w:val="20"/>
            <w:color w:val="0000ff"/>
          </w:rPr>
          <w:t xml:space="preserve">подпунктах "а"</w:t>
        </w:r>
      </w:hyperlink>
      <w:r>
        <w:rPr>
          <w:sz w:val="20"/>
        </w:rPr>
        <w:t xml:space="preserve"> - </w:t>
      </w:r>
      <w:hyperlink w:history="0" w:anchor="P81" w:tooltip="г) погрузочно-разгрузочная деятельность применительно к опасным грузам на внутреннем водном транспорте, в морских портах;">
        <w:r>
          <w:rPr>
            <w:sz w:val="20"/>
            <w:color w:val="0000ff"/>
          </w:rPr>
          <w:t xml:space="preserve">"г" пункта 7</w:t>
        </w:r>
      </w:hyperlink>
      <w:r>
        <w:rPr>
          <w:sz w:val="20"/>
        </w:rPr>
        <w:t xml:space="preserve"> настоящего Положения, - </w:t>
      </w:r>
      <w:hyperlink w:history="0" r:id="rId40"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пункт 217</w:t>
        </w:r>
      </w:hyperlink>
      <w:r>
        <w:rPr>
          <w:sz w:val="20"/>
        </w:rPr>
        <w:t xml:space="preserve"> указанного регламента, в отношении объектов федерального контроля, указанных в </w:t>
      </w:r>
      <w:hyperlink w:history="0" w:anchor="P82" w:tooltip="д) судоходные и портовые гидротехнические сооружения и деятельность по их эксплуатации;">
        <w:r>
          <w:rPr>
            <w:sz w:val="20"/>
            <w:color w:val="0000ff"/>
          </w:rPr>
          <w:t xml:space="preserve">подпункте "д" пункта 7</w:t>
        </w:r>
      </w:hyperlink>
      <w:r>
        <w:rPr>
          <w:sz w:val="20"/>
        </w:rPr>
        <w:t xml:space="preserve"> настоящего Положения, - </w:t>
      </w:r>
      <w:hyperlink w:history="0" r:id="rId41"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пункты 388</w:t>
        </w:r>
      </w:hyperlink>
      <w:r>
        <w:rPr>
          <w:sz w:val="20"/>
        </w:rPr>
        <w:t xml:space="preserve">, </w:t>
      </w:r>
      <w:hyperlink w:history="0" r:id="rId42"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396</w:t>
        </w:r>
      </w:hyperlink>
      <w:r>
        <w:rPr>
          <w:sz w:val="20"/>
        </w:rPr>
        <w:t xml:space="preserve">, </w:t>
      </w:r>
      <w:hyperlink w:history="0" r:id="rId43"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419</w:t>
        </w:r>
      </w:hyperlink>
      <w:r>
        <w:rPr>
          <w:sz w:val="20"/>
        </w:rPr>
        <w:t xml:space="preserve">, </w:t>
      </w:r>
      <w:hyperlink w:history="0" r:id="rId44"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432</w:t>
        </w:r>
      </w:hyperlink>
      <w:r>
        <w:rPr>
          <w:sz w:val="20"/>
        </w:rPr>
        <w:t xml:space="preserve">, </w:t>
      </w:r>
      <w:hyperlink w:history="0" r:id="rId45"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подпункты "б",</w:t>
        </w:r>
      </w:hyperlink>
      <w:r>
        <w:rPr>
          <w:sz w:val="20"/>
        </w:rPr>
        <w:t xml:space="preserve"> </w:t>
      </w:r>
      <w:hyperlink w:history="0" r:id="rId46"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"в"</w:t>
        </w:r>
      </w:hyperlink>
      <w:r>
        <w:rPr>
          <w:sz w:val="20"/>
        </w:rPr>
        <w:t xml:space="preserve">, </w:t>
      </w:r>
      <w:hyperlink w:history="0" r:id="rId47"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"д"</w:t>
        </w:r>
      </w:hyperlink>
      <w:r>
        <w:rPr>
          <w:sz w:val="20"/>
        </w:rPr>
        <w:t xml:space="preserve">, </w:t>
      </w:r>
      <w:hyperlink w:history="0" r:id="rId48"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"г" пункта 433</w:t>
        </w:r>
      </w:hyperlink>
      <w:r>
        <w:rPr>
          <w:sz w:val="20"/>
        </w:rPr>
        <w:t xml:space="preserve">, </w:t>
      </w:r>
      <w:hyperlink w:history="0" r:id="rId49"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пункт 440</w:t>
        </w:r>
      </w:hyperlink>
      <w:r>
        <w:rPr>
          <w:sz w:val="20"/>
        </w:rPr>
        <w:t xml:space="preserve">, </w:t>
      </w:r>
      <w:hyperlink w:history="0" r:id="rId50"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подпункты "а"</w:t>
        </w:r>
      </w:hyperlink>
      <w:r>
        <w:rPr>
          <w:sz w:val="20"/>
        </w:rPr>
        <w:t xml:space="preserve">, </w:t>
      </w:r>
      <w:hyperlink w:history="0" r:id="rId51"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"д" пункта 443</w:t>
        </w:r>
      </w:hyperlink>
      <w:r>
        <w:rPr>
          <w:sz w:val="20"/>
        </w:rPr>
        <w:t xml:space="preserve">, </w:t>
      </w:r>
      <w:hyperlink w:history="0" r:id="rId52"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пункты 444</w:t>
        </w:r>
      </w:hyperlink>
      <w:r>
        <w:rPr>
          <w:sz w:val="20"/>
        </w:rPr>
        <w:t xml:space="preserve">, </w:t>
      </w:r>
      <w:hyperlink w:history="0" r:id="rId53"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446</w:t>
        </w:r>
      </w:hyperlink>
      <w:r>
        <w:rPr>
          <w:sz w:val="20"/>
        </w:rPr>
        <w:t xml:space="preserve">, </w:t>
      </w:r>
      <w:hyperlink w:history="0" r:id="rId54"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447</w:t>
        </w:r>
      </w:hyperlink>
      <w:r>
        <w:rPr>
          <w:sz w:val="20"/>
        </w:rPr>
        <w:t xml:space="preserve"> - </w:t>
      </w:r>
      <w:hyperlink w:history="0" r:id="rId55"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451</w:t>
        </w:r>
      </w:hyperlink>
      <w:r>
        <w:rPr>
          <w:sz w:val="20"/>
        </w:rPr>
        <w:t xml:space="preserve">, </w:t>
      </w:r>
      <w:hyperlink w:history="0" r:id="rId56"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453</w:t>
        </w:r>
      </w:hyperlink>
      <w:r>
        <w:rPr>
          <w:sz w:val="20"/>
        </w:rPr>
        <w:t xml:space="preserve">, </w:t>
      </w:r>
      <w:hyperlink w:history="0" r:id="rId57"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455</w:t>
        </w:r>
      </w:hyperlink>
      <w:r>
        <w:rPr>
          <w:sz w:val="20"/>
        </w:rPr>
        <w:t xml:space="preserve">, </w:t>
      </w:r>
      <w:hyperlink w:history="0" r:id="rId58"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подпункты "а",</w:t>
        </w:r>
      </w:hyperlink>
      <w:r>
        <w:rPr>
          <w:sz w:val="20"/>
        </w:rPr>
        <w:t xml:space="preserve"> </w:t>
      </w:r>
      <w:hyperlink w:history="0" r:id="rId59"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"д" пункта 457</w:t>
        </w:r>
      </w:hyperlink>
      <w:r>
        <w:rPr>
          <w:sz w:val="20"/>
        </w:rPr>
        <w:t xml:space="preserve">, </w:t>
      </w:r>
      <w:hyperlink w:history="0" r:id="rId60"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подпункты "б",</w:t>
        </w:r>
      </w:hyperlink>
      <w:r>
        <w:rPr>
          <w:sz w:val="20"/>
        </w:rPr>
        <w:t xml:space="preserve"> </w:t>
      </w:r>
      <w:hyperlink w:history="0" r:id="rId61"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"з"</w:t>
        </w:r>
      </w:hyperlink>
      <w:r>
        <w:rPr>
          <w:sz w:val="20"/>
        </w:rPr>
        <w:t xml:space="preserve">, </w:t>
      </w:r>
      <w:hyperlink w:history="0" r:id="rId62"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"и" пункта 458</w:t>
        </w:r>
      </w:hyperlink>
      <w:r>
        <w:rPr>
          <w:sz w:val="20"/>
        </w:rPr>
        <w:t xml:space="preserve">, </w:t>
      </w:r>
      <w:hyperlink w:history="0" r:id="rId63"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подпункты "а"</w:t>
        </w:r>
      </w:hyperlink>
      <w:r>
        <w:rPr>
          <w:sz w:val="20"/>
        </w:rPr>
        <w:t xml:space="preserve">, </w:t>
      </w:r>
      <w:hyperlink w:history="0" r:id="rId64"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"г" пункта 477</w:t>
        </w:r>
      </w:hyperlink>
      <w:r>
        <w:rPr>
          <w:sz w:val="20"/>
        </w:rPr>
        <w:t xml:space="preserve">, </w:t>
      </w:r>
      <w:hyperlink w:history="0" r:id="rId65"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пункты 479</w:t>
        </w:r>
      </w:hyperlink>
      <w:r>
        <w:rPr>
          <w:sz w:val="20"/>
        </w:rPr>
        <w:t xml:space="preserve">, </w:t>
      </w:r>
      <w:hyperlink w:history="0" r:id="rId66"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485</w:t>
        </w:r>
      </w:hyperlink>
      <w:r>
        <w:rPr>
          <w:sz w:val="20"/>
        </w:rPr>
        <w:t xml:space="preserve">, </w:t>
      </w:r>
      <w:hyperlink w:history="0" r:id="rId67"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491</w:t>
        </w:r>
      </w:hyperlink>
      <w:r>
        <w:rPr>
          <w:sz w:val="20"/>
        </w:rPr>
        <w:t xml:space="preserve">, </w:t>
      </w:r>
      <w:hyperlink w:history="0" r:id="rId68"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493</w:t>
        </w:r>
      </w:hyperlink>
      <w:r>
        <w:rPr>
          <w:sz w:val="20"/>
        </w:rPr>
        <w:t xml:space="preserve">, </w:t>
      </w:r>
      <w:hyperlink w:history="0" r:id="rId69"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497</w:t>
        </w:r>
      </w:hyperlink>
      <w:r>
        <w:rPr>
          <w:sz w:val="20"/>
        </w:rPr>
        <w:t xml:space="preserve">, </w:t>
      </w:r>
      <w:hyperlink w:history="0" r:id="rId70"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подпункт "к" пункта 510</w:t>
        </w:r>
      </w:hyperlink>
      <w:r>
        <w:rPr>
          <w:sz w:val="20"/>
        </w:rPr>
        <w:t xml:space="preserve">, </w:t>
      </w:r>
      <w:hyperlink w:history="0" r:id="rId71"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пункты 518</w:t>
        </w:r>
      </w:hyperlink>
      <w:r>
        <w:rPr>
          <w:sz w:val="20"/>
        </w:rPr>
        <w:t xml:space="preserve"> - </w:t>
      </w:r>
      <w:hyperlink w:history="0" r:id="rId72"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sz w:val="20"/>
            <w:color w:val="0000ff"/>
          </w:rPr>
          <w:t xml:space="preserve">520</w:t>
        </w:r>
      </w:hyperlink>
      <w:r>
        <w:rPr>
          <w:sz w:val="20"/>
        </w:rPr>
        <w:t xml:space="preserve"> указанного регламента).</w:t>
      </w:r>
    </w:p>
    <w:p>
      <w:pPr>
        <w:pStyle w:val="0"/>
        <w:spacing w:before="200" w:lineRule="auto"/>
        <w:ind w:firstLine="540"/>
        <w:jc w:val="both"/>
      </w:pPr>
      <w:r>
        <w:rPr>
          <w:sz w:val="20"/>
        </w:rPr>
        <w:t xml:space="preserve">3. Федеральными органами исполнительной власти, уполномоченными на осуществление федерального контроля (далее - контрольный (надзорный) орган), являются:</w:t>
      </w:r>
    </w:p>
    <w:p>
      <w:pPr>
        <w:pStyle w:val="0"/>
        <w:spacing w:before="200" w:lineRule="auto"/>
        <w:ind w:firstLine="540"/>
        <w:jc w:val="both"/>
      </w:pPr>
      <w:r>
        <w:rPr>
          <w:sz w:val="20"/>
        </w:rPr>
        <w:t xml:space="preserve">а) Федеральная служба по надзору в сфере транспорта;</w:t>
      </w:r>
    </w:p>
    <w:p>
      <w:pPr>
        <w:pStyle w:val="0"/>
        <w:spacing w:before="200" w:lineRule="auto"/>
        <w:ind w:firstLine="540"/>
        <w:jc w:val="both"/>
      </w:pPr>
      <w:r>
        <w:rPr>
          <w:sz w:val="20"/>
        </w:rPr>
        <w:t xml:space="preserve">б) Федеральное агентство по рыболовству (в отношении обеспечения безопасности плавания судов рыбопромыслового флота в районах промысла при осуществлении рыболовства).</w:t>
      </w:r>
    </w:p>
    <w:bookmarkStart w:id="63" w:name="P63"/>
    <w:bookmarkEnd w:id="63"/>
    <w:p>
      <w:pPr>
        <w:pStyle w:val="0"/>
        <w:spacing w:before="200" w:lineRule="auto"/>
        <w:ind w:firstLine="540"/>
        <w:jc w:val="both"/>
      </w:pPr>
      <w:r>
        <w:rPr>
          <w:sz w:val="20"/>
        </w:rPr>
        <w:t xml:space="preserve">4. Должностными лицами, уполномоченными на осуществление федерального контроля, являются:</w:t>
      </w:r>
    </w:p>
    <w:p>
      <w:pPr>
        <w:pStyle w:val="0"/>
        <w:spacing w:before="200" w:lineRule="auto"/>
        <w:ind w:firstLine="540"/>
        <w:jc w:val="both"/>
      </w:pPr>
      <w:r>
        <w:rPr>
          <w:sz w:val="20"/>
        </w:rPr>
        <w:t xml:space="preserve">а) руководители контрольных (надзорных) органов;</w:t>
      </w:r>
    </w:p>
    <w:p>
      <w:pPr>
        <w:pStyle w:val="0"/>
        <w:spacing w:before="200" w:lineRule="auto"/>
        <w:ind w:firstLine="540"/>
        <w:jc w:val="both"/>
      </w:pPr>
      <w:r>
        <w:rPr>
          <w:sz w:val="20"/>
        </w:rPr>
        <w:t xml:space="preserve">б) заместители руководителей контрольных (надзорных) органов;</w:t>
      </w:r>
    </w:p>
    <w:p>
      <w:pPr>
        <w:pStyle w:val="0"/>
        <w:spacing w:before="200" w:lineRule="auto"/>
        <w:ind w:firstLine="540"/>
        <w:jc w:val="both"/>
      </w:pPr>
      <w:r>
        <w:rPr>
          <w:sz w:val="20"/>
        </w:rPr>
        <w:t xml:space="preserve">в) руководители подразделений центральных аппаратов контрольных (надзорных) органов, заместители руководителей подразделений центральных аппаратов контрольных (надзорных) органов, начальники отделов, заместители начальников отделов и федеральные государственные гражданские служащие категории "специалисты" подразделений центральных аппаратов контрольных (надзорных) органов;</w:t>
      </w:r>
    </w:p>
    <w:p>
      <w:pPr>
        <w:pStyle w:val="0"/>
        <w:spacing w:before="200" w:lineRule="auto"/>
        <w:ind w:firstLine="540"/>
        <w:jc w:val="both"/>
      </w:pPr>
      <w:r>
        <w:rPr>
          <w:sz w:val="20"/>
        </w:rPr>
        <w:t xml:space="preserve">г) руководители территориальных органов контрольных (надзорных) органов;</w:t>
      </w:r>
    </w:p>
    <w:p>
      <w:pPr>
        <w:pStyle w:val="0"/>
        <w:spacing w:before="200" w:lineRule="auto"/>
        <w:ind w:firstLine="540"/>
        <w:jc w:val="both"/>
      </w:pPr>
      <w:r>
        <w:rPr>
          <w:sz w:val="20"/>
        </w:rPr>
        <w:t xml:space="preserve">д) заместители руководителей территориальных органов контрольных (надзорных) органов;</w:t>
      </w:r>
    </w:p>
    <w:p>
      <w:pPr>
        <w:pStyle w:val="0"/>
        <w:spacing w:before="200" w:lineRule="auto"/>
        <w:ind w:firstLine="540"/>
        <w:jc w:val="both"/>
      </w:pPr>
      <w:r>
        <w:rPr>
          <w:sz w:val="20"/>
        </w:rPr>
        <w:t xml:space="preserve">е) начальники отделов, заместители начальников отделов и федеральные государственные гражданские служащие категории "специалисты" территориальных органов контрольных (надзорных) органов.</w:t>
      </w:r>
    </w:p>
    <w:bookmarkStart w:id="70" w:name="P70"/>
    <w:bookmarkEnd w:id="70"/>
    <w:p>
      <w:pPr>
        <w:pStyle w:val="0"/>
        <w:spacing w:before="200" w:lineRule="auto"/>
        <w:ind w:firstLine="540"/>
        <w:jc w:val="both"/>
      </w:pPr>
      <w:r>
        <w:rPr>
          <w:sz w:val="20"/>
        </w:rPr>
        <w:t xml:space="preserve">5. Должностными лицами, уполномоченными на принятие решений о проведении контрольных (надзорных) мероприятий, являются:</w:t>
      </w:r>
    </w:p>
    <w:p>
      <w:pPr>
        <w:pStyle w:val="0"/>
        <w:spacing w:before="200" w:lineRule="auto"/>
        <w:ind w:firstLine="540"/>
        <w:jc w:val="both"/>
      </w:pPr>
      <w:r>
        <w:rPr>
          <w:sz w:val="20"/>
        </w:rPr>
        <w:t xml:space="preserve">а) руководители, заместители руководителей контрольных (надзорных) органов;</w:t>
      </w:r>
    </w:p>
    <w:p>
      <w:pPr>
        <w:pStyle w:val="0"/>
        <w:spacing w:before="200" w:lineRule="auto"/>
        <w:ind w:firstLine="540"/>
        <w:jc w:val="both"/>
      </w:pPr>
      <w:r>
        <w:rPr>
          <w:sz w:val="20"/>
        </w:rPr>
        <w:t xml:space="preserve">б) руководители, заместители руководителей территориальных органов контрольных (надзорных) органов.</w:t>
      </w:r>
    </w:p>
    <w:p>
      <w:pPr>
        <w:pStyle w:val="0"/>
        <w:spacing w:before="200" w:lineRule="auto"/>
        <w:ind w:firstLine="540"/>
        <w:jc w:val="both"/>
      </w:pPr>
      <w:r>
        <w:rPr>
          <w:sz w:val="20"/>
        </w:rPr>
        <w:t xml:space="preserve">6. Должностные лица, указанные в </w:t>
      </w:r>
      <w:hyperlink w:history="0" w:anchor="P63" w:tooltip="4. Должностными лицами, уполномоченными на осуществление федерального контроля, являются:">
        <w:r>
          <w:rPr>
            <w:sz w:val="20"/>
            <w:color w:val="0000ff"/>
          </w:rPr>
          <w:t xml:space="preserve">пункте 4</w:t>
        </w:r>
      </w:hyperlink>
      <w:r>
        <w:rPr>
          <w:sz w:val="20"/>
        </w:rPr>
        <w:t xml:space="preserve"> настоящего Положения,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hyperlink w:history="0" r:id="rId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2 статьи 29</w:t>
        </w:r>
      </w:hyperlink>
      <w:r>
        <w:rPr>
          <w:sz w:val="20"/>
        </w:rPr>
        <w:t xml:space="preserve"> Федерального закона "О государственном контроле (надзоре) и муниципальном контроле в Российской Федерации" (далее - Федеральный закон).</w:t>
      </w:r>
    </w:p>
    <w:p>
      <w:pPr>
        <w:pStyle w:val="0"/>
        <w:jc w:val="both"/>
      </w:pPr>
      <w:r>
        <w:rPr>
          <w:sz w:val="20"/>
        </w:rPr>
      </w:r>
    </w:p>
    <w:p>
      <w:pPr>
        <w:pStyle w:val="2"/>
        <w:outlineLvl w:val="2"/>
        <w:jc w:val="center"/>
      </w:pPr>
      <w:r>
        <w:rPr>
          <w:sz w:val="20"/>
        </w:rPr>
        <w:t xml:space="preserve">Объекты федерального контроля</w:t>
      </w:r>
    </w:p>
    <w:p>
      <w:pPr>
        <w:pStyle w:val="0"/>
        <w:jc w:val="both"/>
      </w:pPr>
      <w:r>
        <w:rPr>
          <w:sz w:val="20"/>
        </w:rPr>
      </w:r>
    </w:p>
    <w:bookmarkStart w:id="77" w:name="P77"/>
    <w:bookmarkEnd w:id="77"/>
    <w:p>
      <w:pPr>
        <w:pStyle w:val="0"/>
        <w:ind w:firstLine="540"/>
        <w:jc w:val="both"/>
      </w:pPr>
      <w:r>
        <w:rPr>
          <w:sz w:val="20"/>
        </w:rPr>
        <w:t xml:space="preserve">7. Объектами федерального контроля в рамках федерального контроля являются:</w:t>
      </w:r>
    </w:p>
    <w:bookmarkStart w:id="78" w:name="P78"/>
    <w:bookmarkEnd w:id="78"/>
    <w:p>
      <w:pPr>
        <w:pStyle w:val="0"/>
        <w:spacing w:before="200" w:lineRule="auto"/>
        <w:ind w:firstLine="540"/>
        <w:jc w:val="both"/>
      </w:pPr>
      <w:r>
        <w:rPr>
          <w:sz w:val="20"/>
        </w:rPr>
        <w:t xml:space="preserve">а) деятельность по перевозке пассажиров морским и внутренним водным транспортом;</w:t>
      </w:r>
    </w:p>
    <w:bookmarkStart w:id="79" w:name="P79"/>
    <w:bookmarkEnd w:id="79"/>
    <w:p>
      <w:pPr>
        <w:pStyle w:val="0"/>
        <w:spacing w:before="200" w:lineRule="auto"/>
        <w:ind w:firstLine="540"/>
        <w:jc w:val="both"/>
      </w:pPr>
      <w:r>
        <w:rPr>
          <w:sz w:val="20"/>
        </w:rPr>
        <w:t xml:space="preserve">б) деятельность по перевозке опасных грузов морским и внутренним водным транспортом;</w:t>
      </w:r>
    </w:p>
    <w:p>
      <w:pPr>
        <w:pStyle w:val="0"/>
        <w:spacing w:before="200" w:lineRule="auto"/>
        <w:ind w:firstLine="540"/>
        <w:jc w:val="both"/>
      </w:pPr>
      <w:r>
        <w:rPr>
          <w:sz w:val="20"/>
        </w:rPr>
        <w:t xml:space="preserve">в) деятельность по осуществлению буксировок морским транспортом;</w:t>
      </w:r>
    </w:p>
    <w:bookmarkStart w:id="81" w:name="P81"/>
    <w:bookmarkEnd w:id="81"/>
    <w:p>
      <w:pPr>
        <w:pStyle w:val="0"/>
        <w:spacing w:before="200" w:lineRule="auto"/>
        <w:ind w:firstLine="540"/>
        <w:jc w:val="both"/>
      </w:pPr>
      <w:r>
        <w:rPr>
          <w:sz w:val="20"/>
        </w:rPr>
        <w:t xml:space="preserve">г) погрузочно-разгрузочная деятельность применительно к опасным грузам на внутреннем водном транспорте, в морских портах;</w:t>
      </w:r>
    </w:p>
    <w:bookmarkStart w:id="82" w:name="P82"/>
    <w:bookmarkEnd w:id="82"/>
    <w:p>
      <w:pPr>
        <w:pStyle w:val="0"/>
        <w:spacing w:before="200" w:lineRule="auto"/>
        <w:ind w:firstLine="540"/>
        <w:jc w:val="both"/>
      </w:pPr>
      <w:r>
        <w:rPr>
          <w:sz w:val="20"/>
        </w:rPr>
        <w:t xml:space="preserve">д) судоходные и портовые гидротехнические сооружения и деятельность по их эксплуатации;</w:t>
      </w:r>
    </w:p>
    <w:p>
      <w:pPr>
        <w:pStyle w:val="0"/>
        <w:spacing w:before="200" w:lineRule="auto"/>
        <w:ind w:firstLine="540"/>
        <w:jc w:val="both"/>
      </w:pPr>
      <w:r>
        <w:rPr>
          <w:sz w:val="20"/>
        </w:rPr>
        <w:t xml:space="preserve">е) деятельность по осуществлению лоцманской проводки судов;</w:t>
      </w:r>
    </w:p>
    <w:p>
      <w:pPr>
        <w:pStyle w:val="0"/>
        <w:spacing w:before="200" w:lineRule="auto"/>
        <w:ind w:firstLine="540"/>
        <w:jc w:val="both"/>
      </w:pPr>
      <w:r>
        <w:rPr>
          <w:sz w:val="20"/>
        </w:rPr>
        <w:t xml:space="preserve">ж) деятельность по обеспечению доступности для инвалидов объектов транспортной инфраструктуры морского и внутреннего водного транспорта и предоставляемых услуг;</w:t>
      </w:r>
    </w:p>
    <w:p>
      <w:pPr>
        <w:pStyle w:val="0"/>
        <w:spacing w:before="200" w:lineRule="auto"/>
        <w:ind w:firstLine="540"/>
        <w:jc w:val="both"/>
      </w:pPr>
      <w:r>
        <w:rPr>
          <w:sz w:val="20"/>
        </w:rPr>
        <w:t xml:space="preserve">з) деятельность по содержанию судовых ходов и навигационно-гидрографическому обеспечению условий плавания судов на внутренних водных путях;</w:t>
      </w:r>
    </w:p>
    <w:p>
      <w:pPr>
        <w:pStyle w:val="0"/>
        <w:spacing w:before="200" w:lineRule="auto"/>
        <w:ind w:firstLine="540"/>
        <w:jc w:val="both"/>
      </w:pPr>
      <w:r>
        <w:rPr>
          <w:sz w:val="20"/>
        </w:rPr>
        <w:t xml:space="preserve">и) деятельность капитанов морских портов по осуществлению ими контроля и надзора за обеспечением безопасности судоходства и порядка в порту;</w:t>
      </w:r>
    </w:p>
    <w:p>
      <w:pPr>
        <w:pStyle w:val="0"/>
        <w:spacing w:before="200" w:lineRule="auto"/>
        <w:ind w:firstLine="540"/>
        <w:jc w:val="both"/>
      </w:pPr>
      <w:r>
        <w:rPr>
          <w:sz w:val="20"/>
        </w:rPr>
        <w:t xml:space="preserve">к) деятельность капитанов бассейнов внутренних водных путей по соблюдению требований к осуществлению государственного портового контроля;</w:t>
      </w:r>
    </w:p>
    <w:p>
      <w:pPr>
        <w:pStyle w:val="0"/>
        <w:spacing w:before="200" w:lineRule="auto"/>
        <w:ind w:firstLine="540"/>
        <w:jc w:val="both"/>
      </w:pPr>
      <w:r>
        <w:rPr>
          <w:sz w:val="20"/>
        </w:rPr>
        <w:t xml:space="preserve">л) деятельность по осуществлению поиска и спасания людей и судов, терпящих бедствие на море в поисково-спасательных районах Российской Федерации;</w:t>
      </w:r>
    </w:p>
    <w:p>
      <w:pPr>
        <w:pStyle w:val="0"/>
        <w:spacing w:before="200" w:lineRule="auto"/>
        <w:ind w:firstLine="540"/>
        <w:jc w:val="both"/>
      </w:pPr>
      <w:r>
        <w:rPr>
          <w:sz w:val="20"/>
        </w:rPr>
        <w:t xml:space="preserve">м) деятельность по 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w:t>
      </w:r>
    </w:p>
    <w:p>
      <w:pPr>
        <w:pStyle w:val="0"/>
        <w:spacing w:before="200" w:lineRule="auto"/>
        <w:ind w:firstLine="540"/>
        <w:jc w:val="both"/>
      </w:pPr>
      <w:r>
        <w:rPr>
          <w:sz w:val="20"/>
        </w:rPr>
        <w:t xml:space="preserve">н) деятельность по организации работ по предупреждению и ликвидации разливов нефти и нефтепродуктов на внутренних водных путях с судов и объектов морского и внутреннего водного транспорта;</w:t>
      </w:r>
    </w:p>
    <w:p>
      <w:pPr>
        <w:pStyle w:val="0"/>
        <w:spacing w:before="200" w:lineRule="auto"/>
        <w:ind w:firstLine="540"/>
        <w:jc w:val="both"/>
      </w:pPr>
      <w:r>
        <w:rPr>
          <w:sz w:val="20"/>
        </w:rPr>
        <w:t xml:space="preserve">о) суда рыбопромыслового флота и деятельность по их эксплуатации в районах промысла при осуществлении рыболовства;</w:t>
      </w:r>
    </w:p>
    <w:p>
      <w:pPr>
        <w:pStyle w:val="0"/>
        <w:spacing w:before="200" w:lineRule="auto"/>
        <w:ind w:firstLine="540"/>
        <w:jc w:val="both"/>
      </w:pPr>
      <w:r>
        <w:rPr>
          <w:sz w:val="20"/>
        </w:rPr>
        <w:t xml:space="preserve">п) деятельность в части обеспечения безопасности плавания судов рыбопромыслового флота в районах промысла при осуществлении рыболовства.</w:t>
      </w:r>
    </w:p>
    <w:p>
      <w:pPr>
        <w:pStyle w:val="0"/>
        <w:jc w:val="both"/>
      </w:pPr>
      <w:r>
        <w:rPr>
          <w:sz w:val="20"/>
        </w:rPr>
      </w:r>
    </w:p>
    <w:p>
      <w:pPr>
        <w:pStyle w:val="2"/>
        <w:outlineLvl w:val="2"/>
        <w:jc w:val="center"/>
      </w:pPr>
      <w:r>
        <w:rPr>
          <w:sz w:val="20"/>
        </w:rPr>
        <w:t xml:space="preserve">Учет объектов федерального контроля</w:t>
      </w:r>
    </w:p>
    <w:p>
      <w:pPr>
        <w:pStyle w:val="0"/>
        <w:jc w:val="both"/>
      </w:pPr>
      <w:r>
        <w:rPr>
          <w:sz w:val="20"/>
        </w:rPr>
      </w:r>
    </w:p>
    <w:p>
      <w:pPr>
        <w:pStyle w:val="0"/>
        <w:ind w:firstLine="540"/>
        <w:jc w:val="both"/>
      </w:pPr>
      <w:r>
        <w:rPr>
          <w:sz w:val="20"/>
        </w:rPr>
        <w:t xml:space="preserve">8. Учет объектов федерального контроля осуществляется в соответствующих ведомственных информационно-аналитических системах контрольных (надзорных) органов, обеспечивающих деятельность контролирующего органа при планировании и осуществлении контрольных (надзорных) мероприятий, посредством получения и обработки:</w:t>
      </w:r>
    </w:p>
    <w:p>
      <w:pPr>
        <w:pStyle w:val="0"/>
        <w:spacing w:before="200" w:lineRule="auto"/>
        <w:ind w:firstLine="540"/>
        <w:jc w:val="both"/>
      </w:pPr>
      <w:r>
        <w:rPr>
          <w:sz w:val="20"/>
        </w:rPr>
        <w:t xml:space="preserve">информации, получаемой в рамках межведомственного взаимодействия;</w:t>
      </w:r>
    </w:p>
    <w:p>
      <w:pPr>
        <w:pStyle w:val="0"/>
        <w:spacing w:before="200" w:lineRule="auto"/>
        <w:ind w:firstLine="540"/>
        <w:jc w:val="both"/>
      </w:pPr>
      <w:r>
        <w:rPr>
          <w:sz w:val="20"/>
        </w:rPr>
        <w:t xml:space="preserve">информации, представляемой контролируемыми лицами в соответствии с нормативными правовыми актами Российской Федерации;</w:t>
      </w:r>
    </w:p>
    <w:p>
      <w:pPr>
        <w:pStyle w:val="0"/>
        <w:spacing w:before="200" w:lineRule="auto"/>
        <w:ind w:firstLine="540"/>
        <w:jc w:val="both"/>
      </w:pPr>
      <w:r>
        <w:rPr>
          <w:sz w:val="20"/>
        </w:rPr>
        <w:t xml:space="preserve">результатов анализа осуществления контрольных (надзорных) мероприятий.</w:t>
      </w:r>
    </w:p>
    <w:p>
      <w:pPr>
        <w:pStyle w:val="0"/>
        <w:spacing w:before="200" w:lineRule="auto"/>
        <w:ind w:firstLine="540"/>
        <w:jc w:val="both"/>
      </w:pPr>
      <w:r>
        <w:rPr>
          <w:sz w:val="20"/>
        </w:rPr>
        <w:t xml:space="preserve">К учетным данным объекта федерального контроля относятся:</w:t>
      </w:r>
    </w:p>
    <w:p>
      <w:pPr>
        <w:pStyle w:val="0"/>
        <w:spacing w:before="200" w:lineRule="auto"/>
        <w:ind w:firstLine="540"/>
        <w:jc w:val="both"/>
      </w:pPr>
      <w:r>
        <w:rPr>
          <w:sz w:val="20"/>
        </w:rPr>
        <w:t xml:space="preserve">сведения о контролируемом лице;</w:t>
      </w:r>
    </w:p>
    <w:p>
      <w:pPr>
        <w:pStyle w:val="0"/>
        <w:spacing w:before="200" w:lineRule="auto"/>
        <w:ind w:firstLine="540"/>
        <w:jc w:val="both"/>
      </w:pPr>
      <w:r>
        <w:rPr>
          <w:sz w:val="20"/>
        </w:rPr>
        <w:t xml:space="preserve">наименование объекта контроля контролируемого лица;</w:t>
      </w:r>
    </w:p>
    <w:p>
      <w:pPr>
        <w:pStyle w:val="0"/>
        <w:spacing w:before="200" w:lineRule="auto"/>
        <w:ind w:firstLine="540"/>
        <w:jc w:val="both"/>
      </w:pPr>
      <w:r>
        <w:rPr>
          <w:sz w:val="20"/>
        </w:rPr>
        <w:t xml:space="preserve">информация о наличии в действующих разрешительных документах на право осуществления контролируемым лицом вида деятельности, являющегося объектом контроля;</w:t>
      </w:r>
    </w:p>
    <w:p>
      <w:pPr>
        <w:pStyle w:val="0"/>
        <w:spacing w:before="200" w:lineRule="auto"/>
        <w:ind w:firstLine="540"/>
        <w:jc w:val="both"/>
      </w:pPr>
      <w:r>
        <w:rPr>
          <w:sz w:val="20"/>
        </w:rPr>
        <w:t xml:space="preserve">информация о категории риска, присвоенной объекту федерального контроля;</w:t>
      </w:r>
    </w:p>
    <w:p>
      <w:pPr>
        <w:pStyle w:val="0"/>
        <w:spacing w:before="200" w:lineRule="auto"/>
        <w:ind w:firstLine="540"/>
        <w:jc w:val="both"/>
      </w:pPr>
      <w:r>
        <w:rPr>
          <w:sz w:val="20"/>
        </w:rPr>
        <w:t xml:space="preserve">информация о наличии утвержденной контролируемым лицом декларации соблюдения обязательных требований;</w:t>
      </w:r>
    </w:p>
    <w:p>
      <w:pPr>
        <w:pStyle w:val="0"/>
        <w:spacing w:before="200" w:lineRule="auto"/>
        <w:ind w:firstLine="540"/>
        <w:jc w:val="both"/>
      </w:pPr>
      <w:r>
        <w:rPr>
          <w:sz w:val="20"/>
        </w:rPr>
        <w:t xml:space="preserve">дата последнего планового контрольного (надзорного) мероприятия в отношении контролируемого лица;</w:t>
      </w:r>
    </w:p>
    <w:p>
      <w:pPr>
        <w:pStyle w:val="0"/>
        <w:spacing w:before="200" w:lineRule="auto"/>
        <w:ind w:firstLine="540"/>
        <w:jc w:val="both"/>
      </w:pPr>
      <w:r>
        <w:rPr>
          <w:sz w:val="20"/>
        </w:rPr>
        <w:t xml:space="preserve">информация о выявленных нарушениях обязательных требований и об их устранении;</w:t>
      </w:r>
    </w:p>
    <w:p>
      <w:pPr>
        <w:pStyle w:val="0"/>
        <w:spacing w:before="200" w:lineRule="auto"/>
        <w:ind w:firstLine="540"/>
        <w:jc w:val="both"/>
      </w:pPr>
      <w:r>
        <w:rPr>
          <w:sz w:val="20"/>
        </w:rPr>
        <w:t xml:space="preserve">информация о выданных предостережениях о недопустимости нарушения обязательных требований (далее - предостережения).</w:t>
      </w:r>
    </w:p>
    <w:p>
      <w:pPr>
        <w:pStyle w:val="0"/>
        <w:spacing w:before="200" w:lineRule="auto"/>
        <w:ind w:firstLine="540"/>
        <w:jc w:val="both"/>
      </w:pPr>
      <w:r>
        <w:rPr>
          <w:sz w:val="20"/>
        </w:rPr>
        <w:t xml:space="preserve">9. Осуществление учета объектов федерального контроля осуществляется путем фиксации учетных данных о деятельности контролируемого лица (видах деятельности и количественном составе объектов федерального контроля), ведения реестра объектов федерального контроля, а также путем обработки и анализа информации, включающей непрерывный учет изменений в составе объектов федерального контроля контролируемого лица на всех этапах осуществления его хозяйственной деятельности.</w:t>
      </w:r>
    </w:p>
    <w:p>
      <w:pPr>
        <w:pStyle w:val="0"/>
        <w:jc w:val="both"/>
      </w:pPr>
      <w:r>
        <w:rPr>
          <w:sz w:val="20"/>
        </w:rPr>
      </w:r>
    </w:p>
    <w:p>
      <w:pPr>
        <w:pStyle w:val="2"/>
        <w:outlineLvl w:val="1"/>
        <w:jc w:val="center"/>
      </w:pPr>
      <w:r>
        <w:rPr>
          <w:sz w:val="20"/>
        </w:rPr>
        <w:t xml:space="preserve">II. Управление рисками причинения вреда (ущерба) охраняемым</w:t>
      </w:r>
    </w:p>
    <w:p>
      <w:pPr>
        <w:pStyle w:val="2"/>
        <w:jc w:val="center"/>
      </w:pPr>
      <w:r>
        <w:rPr>
          <w:sz w:val="20"/>
        </w:rPr>
        <w:t xml:space="preserve">законом ценностям при осуществлении федерального контроля</w:t>
      </w:r>
    </w:p>
    <w:p>
      <w:pPr>
        <w:pStyle w:val="0"/>
        <w:jc w:val="both"/>
      </w:pPr>
      <w:r>
        <w:rPr>
          <w:sz w:val="20"/>
        </w:rPr>
      </w:r>
    </w:p>
    <w:p>
      <w:pPr>
        <w:pStyle w:val="0"/>
        <w:ind w:firstLine="540"/>
        <w:jc w:val="both"/>
      </w:pPr>
      <w:r>
        <w:rPr>
          <w:sz w:val="20"/>
        </w:rPr>
        <w:t xml:space="preserve">10. При осуществлении федерального контроля применяется система оценки и управления рисками.</w:t>
      </w:r>
    </w:p>
    <w:p>
      <w:pPr>
        <w:pStyle w:val="0"/>
        <w:spacing w:before="200" w:lineRule="auto"/>
        <w:ind w:firstLine="540"/>
        <w:jc w:val="both"/>
      </w:pPr>
      <w:r>
        <w:rPr>
          <w:sz w:val="20"/>
        </w:rPr>
        <w:t xml:space="preserve">11. Объекты контроля относятся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а) высокий риск;</w:t>
      </w:r>
    </w:p>
    <w:p>
      <w:pPr>
        <w:pStyle w:val="0"/>
        <w:spacing w:before="200" w:lineRule="auto"/>
        <w:ind w:firstLine="540"/>
        <w:jc w:val="both"/>
      </w:pPr>
      <w:r>
        <w:rPr>
          <w:sz w:val="20"/>
        </w:rPr>
        <w:t xml:space="preserve">б) значительный риск;</w:t>
      </w:r>
    </w:p>
    <w:p>
      <w:pPr>
        <w:pStyle w:val="0"/>
        <w:spacing w:before="200" w:lineRule="auto"/>
        <w:ind w:firstLine="540"/>
        <w:jc w:val="both"/>
      </w:pPr>
      <w:r>
        <w:rPr>
          <w:sz w:val="20"/>
        </w:rPr>
        <w:t xml:space="preserve">в) средний риск;</w:t>
      </w:r>
    </w:p>
    <w:p>
      <w:pPr>
        <w:pStyle w:val="0"/>
        <w:spacing w:before="200" w:lineRule="auto"/>
        <w:ind w:firstLine="540"/>
        <w:jc w:val="both"/>
      </w:pPr>
      <w:r>
        <w:rPr>
          <w:sz w:val="20"/>
        </w:rPr>
        <w:t xml:space="preserve">г) низкий риск.</w:t>
      </w:r>
    </w:p>
    <w:p>
      <w:pPr>
        <w:pStyle w:val="0"/>
        <w:spacing w:before="200" w:lineRule="auto"/>
        <w:ind w:firstLine="540"/>
        <w:jc w:val="both"/>
      </w:pPr>
      <w:r>
        <w:rPr>
          <w:sz w:val="20"/>
        </w:rPr>
        <w:t xml:space="preserve">12. Отнесение объектов федерального контроля к категориям риска осуществляется решением руководителя территориального органа контрольного (надзорного) органа либо лица, исполняющего его обязанности, по месту нахождения контролируемого лица.</w:t>
      </w:r>
    </w:p>
    <w:p>
      <w:pPr>
        <w:pStyle w:val="0"/>
        <w:jc w:val="both"/>
      </w:pPr>
      <w:r>
        <w:rPr>
          <w:sz w:val="20"/>
        </w:rPr>
      </w:r>
    </w:p>
    <w:p>
      <w:pPr>
        <w:pStyle w:val="2"/>
        <w:outlineLvl w:val="2"/>
        <w:jc w:val="center"/>
      </w:pPr>
      <w:r>
        <w:rPr>
          <w:sz w:val="20"/>
        </w:rPr>
        <w:t xml:space="preserve">Критерии отнесения объектов федерального контроля</w:t>
      </w:r>
    </w:p>
    <w:p>
      <w:pPr>
        <w:pStyle w:val="2"/>
        <w:jc w:val="center"/>
      </w:pPr>
      <w:r>
        <w:rPr>
          <w:sz w:val="20"/>
        </w:rPr>
        <w:t xml:space="preserve">к категориям риска</w:t>
      </w:r>
    </w:p>
    <w:p>
      <w:pPr>
        <w:pStyle w:val="0"/>
        <w:jc w:val="both"/>
      </w:pPr>
      <w:r>
        <w:rPr>
          <w:sz w:val="20"/>
        </w:rPr>
      </w:r>
    </w:p>
    <w:p>
      <w:pPr>
        <w:pStyle w:val="0"/>
        <w:ind w:firstLine="540"/>
        <w:jc w:val="both"/>
      </w:pPr>
      <w:r>
        <w:rPr>
          <w:sz w:val="20"/>
        </w:rPr>
        <w:t xml:space="preserve">13. Отнесение объектов федерального контроля (за исключением судоходных гидротехнических сооружений и судов рыбопромыслового флота в районах промысла при осуществлении рыболовства) к определенной категории риска основывается на соотнесении группы тяжести потенциальных негативных последствий возможного несоблюдения контролируемыми лицами обязательных требований и группы вероятности несоблюдения контролируемыми лицами обязательных требований при осуществлении деятельности согласно </w:t>
      </w:r>
      <w:hyperlink w:history="0" w:anchor="P450" w:tooltip="КРИТЕРИИ">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14. Отнесение объектов федерального контроля судоходных гидротехнических сооружений к определенной категории риска осуществляется согласно </w:t>
      </w:r>
      <w:hyperlink w:history="0" w:anchor="P550" w:tooltip="КРИТЕРИИ">
        <w:r>
          <w:rPr>
            <w:sz w:val="20"/>
            <w:color w:val="0000ff"/>
          </w:rPr>
          <w:t xml:space="preserve">приложению N 2</w:t>
        </w:r>
      </w:hyperlink>
      <w:r>
        <w:rPr>
          <w:sz w:val="20"/>
        </w:rPr>
        <w:t xml:space="preserve">.</w:t>
      </w:r>
    </w:p>
    <w:p>
      <w:pPr>
        <w:pStyle w:val="0"/>
        <w:jc w:val="both"/>
      </w:pPr>
      <w:r>
        <w:rPr>
          <w:sz w:val="20"/>
        </w:rPr>
      </w:r>
    </w:p>
    <w:p>
      <w:pPr>
        <w:pStyle w:val="2"/>
        <w:outlineLvl w:val="2"/>
        <w:jc w:val="center"/>
      </w:pPr>
      <w:r>
        <w:rPr>
          <w:sz w:val="20"/>
        </w:rPr>
        <w:t xml:space="preserve">Периодичность проведения плановых контрольных</w:t>
      </w:r>
    </w:p>
    <w:p>
      <w:pPr>
        <w:pStyle w:val="2"/>
        <w:jc w:val="center"/>
      </w:pPr>
      <w:r>
        <w:rPr>
          <w:sz w:val="20"/>
        </w:rPr>
        <w:t xml:space="preserve">(надзорных) мероприятий</w:t>
      </w:r>
    </w:p>
    <w:p>
      <w:pPr>
        <w:pStyle w:val="0"/>
        <w:jc w:val="both"/>
      </w:pPr>
      <w:r>
        <w:rPr>
          <w:sz w:val="20"/>
        </w:rPr>
      </w:r>
    </w:p>
    <w:p>
      <w:pPr>
        <w:pStyle w:val="0"/>
        <w:ind w:firstLine="540"/>
        <w:jc w:val="both"/>
      </w:pPr>
      <w:r>
        <w:rPr>
          <w:sz w:val="20"/>
        </w:rPr>
        <w:t xml:space="preserve">15. Периодичность проведения плановых контрольных (надзорных) мероприятий устанавливается для объектов федерального контроля, отнесенных к категории высокого риска.</w:t>
      </w:r>
    </w:p>
    <w:p>
      <w:pPr>
        <w:pStyle w:val="0"/>
        <w:jc w:val="both"/>
      </w:pPr>
      <w:r>
        <w:rPr>
          <w:sz w:val="20"/>
        </w:rPr>
        <w:t xml:space="preserve">(п. 15 в ред. </w:t>
      </w:r>
      <w:hyperlink w:history="0" r:id="rId74"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bookmarkStart w:id="133" w:name="P133"/>
    <w:bookmarkEnd w:id="133"/>
    <w:p>
      <w:pPr>
        <w:pStyle w:val="0"/>
        <w:spacing w:before="200" w:lineRule="auto"/>
        <w:ind w:firstLine="540"/>
        <w:jc w:val="both"/>
      </w:pPr>
      <w:r>
        <w:rPr>
          <w:sz w:val="20"/>
        </w:rPr>
        <w:t xml:space="preserve">16. В отношении контролируемого лица и принадлежащих ему объектов федерального контроля проводятся:</w:t>
      </w:r>
    </w:p>
    <w:p>
      <w:pPr>
        <w:pStyle w:val="0"/>
        <w:spacing w:before="200" w:lineRule="auto"/>
        <w:ind w:firstLine="540"/>
        <w:jc w:val="both"/>
      </w:pPr>
      <w:r>
        <w:rPr>
          <w:sz w:val="20"/>
        </w:rPr>
        <w:t xml:space="preserve">для объектов федерального контроля, отнесенных к категории высокого риска, - плановые контрольные (надзорные) мероприятия в виде инспекционного визита, рейдового осмотра, документарной и выездной проверок с периодичностью один раз в 2 года либо обязательные профилактические визиты с периодичностью один раз в год;</w:t>
      </w:r>
    </w:p>
    <w:p>
      <w:pPr>
        <w:pStyle w:val="0"/>
        <w:spacing w:before="200" w:lineRule="auto"/>
        <w:ind w:firstLine="540"/>
        <w:jc w:val="both"/>
      </w:pPr>
      <w:r>
        <w:rPr>
          <w:sz w:val="20"/>
        </w:rPr>
        <w:t xml:space="preserve">для объектов федерального контроля, отнесенных к категориям значительного и среднего риска, - обязательные профилактические визиты с периодичностью, определяемой Правительством Российской Федерации в соответствии с </w:t>
      </w:r>
      <w:hyperlink w:history="0" r:id="rId7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3 части 2 статьи 25</w:t>
        </w:r>
      </w:hyperlink>
      <w:r>
        <w:rPr>
          <w:sz w:val="20"/>
        </w:rPr>
        <w:t xml:space="preserve"> Федерального закона.</w:t>
      </w:r>
    </w:p>
    <w:p>
      <w:pPr>
        <w:pStyle w:val="0"/>
        <w:jc w:val="both"/>
      </w:pPr>
      <w:r>
        <w:rPr>
          <w:sz w:val="20"/>
        </w:rPr>
        <w:t xml:space="preserve">(п. 16 в ред. </w:t>
      </w:r>
      <w:hyperlink w:history="0" r:id="rId76"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17. Выбор вида планового контрольного (надзорного) мероприятия осуществляется лицами, указанными в </w:t>
      </w:r>
      <w:hyperlink w:history="0" w:anchor="P70" w:tooltip="5. Должностными лицами, уполномоченными на принятие решений о проведении контрольных (надзорных) мероприятий, являются:">
        <w:r>
          <w:rPr>
            <w:sz w:val="20"/>
            <w:color w:val="0000ff"/>
          </w:rPr>
          <w:t xml:space="preserve">пункте 5</w:t>
        </w:r>
      </w:hyperlink>
      <w:r>
        <w:rPr>
          <w:sz w:val="20"/>
        </w:rPr>
        <w:t xml:space="preserve"> настоящего Положения.</w:t>
      </w:r>
    </w:p>
    <w:p>
      <w:pPr>
        <w:pStyle w:val="0"/>
        <w:spacing w:before="200" w:lineRule="auto"/>
        <w:ind w:firstLine="540"/>
        <w:jc w:val="both"/>
      </w:pPr>
      <w:r>
        <w:rPr>
          <w:sz w:val="20"/>
        </w:rPr>
        <w:t xml:space="preserve">18. Плановые контрольные (надзорные) мероприятия по объектам федерального контроля, отнесенным к категориям значительного, среднего и низкого риска, не проводятся.</w:t>
      </w:r>
    </w:p>
    <w:p>
      <w:pPr>
        <w:pStyle w:val="0"/>
        <w:jc w:val="both"/>
      </w:pPr>
      <w:r>
        <w:rPr>
          <w:sz w:val="20"/>
        </w:rPr>
        <w:t xml:space="preserve">(п. 18 в ред. </w:t>
      </w:r>
      <w:hyperlink w:history="0" r:id="rId77"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19.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проверки юридических лиц и индивидуальных предпринимателей не проводятся.</w:t>
      </w:r>
    </w:p>
    <w:p>
      <w:pPr>
        <w:pStyle w:val="0"/>
        <w:spacing w:before="200" w:lineRule="auto"/>
        <w:ind w:firstLine="540"/>
        <w:jc w:val="both"/>
      </w:pPr>
      <w:r>
        <w:rPr>
          <w:sz w:val="20"/>
        </w:rPr>
        <w:t xml:space="preserve">20. Утратил силу. - </w:t>
      </w:r>
      <w:hyperlink w:history="0" r:id="rId78"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02.09.2025 N 1354.</w:t>
      </w:r>
    </w:p>
    <w:p>
      <w:pPr>
        <w:pStyle w:val="0"/>
        <w:jc w:val="both"/>
      </w:pPr>
      <w:r>
        <w:rPr>
          <w:sz w:val="20"/>
        </w:rPr>
      </w:r>
    </w:p>
    <w:p>
      <w:pPr>
        <w:pStyle w:val="2"/>
        <w:outlineLvl w:val="1"/>
        <w:jc w:val="center"/>
      </w:pPr>
      <w:r>
        <w:rPr>
          <w:sz w:val="20"/>
        </w:rPr>
        <w:t xml:space="preserve">III. Профилактика рисков причинения вреда (ущерба)</w:t>
      </w:r>
    </w:p>
    <w:p>
      <w:pPr>
        <w:pStyle w:val="2"/>
        <w:jc w:val="center"/>
      </w:pPr>
      <w:r>
        <w:rPr>
          <w:sz w:val="20"/>
        </w:rPr>
        <w:t xml:space="preserve">охраняемым законом ценностям</w:t>
      </w:r>
    </w:p>
    <w:p>
      <w:pPr>
        <w:pStyle w:val="0"/>
        <w:jc w:val="both"/>
      </w:pPr>
      <w:r>
        <w:rPr>
          <w:sz w:val="20"/>
        </w:rPr>
      </w:r>
    </w:p>
    <w:p>
      <w:pPr>
        <w:pStyle w:val="0"/>
        <w:ind w:firstLine="540"/>
        <w:jc w:val="both"/>
      </w:pPr>
      <w:r>
        <w:rPr>
          <w:sz w:val="20"/>
        </w:rPr>
        <w:t xml:space="preserve">21. При осуществлении федерального контроля могут проводиться следующие виды профилактических мероприятий:</w:t>
      </w:r>
    </w:p>
    <w:p>
      <w:pPr>
        <w:pStyle w:val="0"/>
        <w:spacing w:before="200" w:lineRule="auto"/>
        <w:ind w:firstLine="540"/>
        <w:jc w:val="both"/>
      </w:pPr>
      <w:r>
        <w:rPr>
          <w:sz w:val="20"/>
        </w:rPr>
        <w:t xml:space="preserve">а) информирование;</w:t>
      </w:r>
    </w:p>
    <w:p>
      <w:pPr>
        <w:pStyle w:val="0"/>
        <w:spacing w:before="200" w:lineRule="auto"/>
        <w:ind w:firstLine="540"/>
        <w:jc w:val="both"/>
      </w:pPr>
      <w:r>
        <w:rPr>
          <w:sz w:val="20"/>
        </w:rPr>
        <w:t xml:space="preserve">б) обобщение правоприменительной практики;</w:t>
      </w:r>
    </w:p>
    <w:p>
      <w:pPr>
        <w:pStyle w:val="0"/>
        <w:spacing w:before="200" w:lineRule="auto"/>
        <w:ind w:firstLine="540"/>
        <w:jc w:val="both"/>
      </w:pPr>
      <w:r>
        <w:rPr>
          <w:sz w:val="20"/>
        </w:rPr>
        <w:t xml:space="preserve">в) меры стимулирования добросовестности;</w:t>
      </w:r>
    </w:p>
    <w:p>
      <w:pPr>
        <w:pStyle w:val="0"/>
        <w:spacing w:before="200" w:lineRule="auto"/>
        <w:ind w:firstLine="540"/>
        <w:jc w:val="both"/>
      </w:pPr>
      <w:r>
        <w:rPr>
          <w:sz w:val="20"/>
        </w:rPr>
        <w:t xml:space="preserve">г) объявление предостережения;</w:t>
      </w:r>
    </w:p>
    <w:p>
      <w:pPr>
        <w:pStyle w:val="0"/>
        <w:spacing w:before="200" w:lineRule="auto"/>
        <w:ind w:firstLine="540"/>
        <w:jc w:val="both"/>
      </w:pPr>
      <w:r>
        <w:rPr>
          <w:sz w:val="20"/>
        </w:rPr>
        <w:t xml:space="preserve">д) консультирование;</w:t>
      </w:r>
    </w:p>
    <w:p>
      <w:pPr>
        <w:pStyle w:val="0"/>
        <w:spacing w:before="200" w:lineRule="auto"/>
        <w:ind w:firstLine="540"/>
        <w:jc w:val="both"/>
      </w:pPr>
      <w:r>
        <w:rPr>
          <w:sz w:val="20"/>
        </w:rPr>
        <w:t xml:space="preserve">е) самообследование;</w:t>
      </w:r>
    </w:p>
    <w:p>
      <w:pPr>
        <w:pStyle w:val="0"/>
        <w:spacing w:before="200" w:lineRule="auto"/>
        <w:ind w:firstLine="540"/>
        <w:jc w:val="both"/>
      </w:pPr>
      <w:r>
        <w:rPr>
          <w:sz w:val="20"/>
        </w:rPr>
        <w:t xml:space="preserve">ж) профилактический визит.</w:t>
      </w:r>
    </w:p>
    <w:p>
      <w:pPr>
        <w:pStyle w:val="0"/>
        <w:jc w:val="both"/>
      </w:pPr>
      <w:r>
        <w:rPr>
          <w:sz w:val="20"/>
        </w:rPr>
      </w:r>
    </w:p>
    <w:p>
      <w:pPr>
        <w:pStyle w:val="2"/>
        <w:outlineLvl w:val="2"/>
        <w:jc w:val="center"/>
      </w:pPr>
      <w:r>
        <w:rPr>
          <w:sz w:val="20"/>
        </w:rPr>
        <w:t xml:space="preserve">Информирование</w:t>
      </w:r>
    </w:p>
    <w:p>
      <w:pPr>
        <w:pStyle w:val="0"/>
        <w:jc w:val="both"/>
      </w:pPr>
      <w:r>
        <w:rPr>
          <w:sz w:val="20"/>
        </w:rPr>
      </w:r>
    </w:p>
    <w:p>
      <w:pPr>
        <w:pStyle w:val="0"/>
        <w:ind w:firstLine="540"/>
        <w:jc w:val="both"/>
      </w:pPr>
      <w:r>
        <w:rPr>
          <w:sz w:val="20"/>
        </w:rPr>
        <w:t xml:space="preserve">22. Информирование контролируемых лиц и иных заинтересованных лиц по вопросам соблюдения обязательных требований осуществляется контрольными (надзорными) органами посредством размещения соответствующих сведений на официальных сайтах контрольных (надзорных) органов в информационно-телекоммуникационной сети "Интернет" (далее - сеть "Интернет"), в средствах массовой информации, в личных кабинетах контролируемых лиц в государственных информационных системах (при наличии).</w:t>
      </w:r>
    </w:p>
    <w:p>
      <w:pPr>
        <w:pStyle w:val="0"/>
        <w:spacing w:before="200" w:lineRule="auto"/>
        <w:ind w:firstLine="540"/>
        <w:jc w:val="both"/>
      </w:pPr>
      <w:r>
        <w:rPr>
          <w:sz w:val="20"/>
        </w:rPr>
        <w:t xml:space="preserve">23. Размещению и поддержанию в актуальном состоянии подлежит следующая информация:</w:t>
      </w:r>
    </w:p>
    <w:p>
      <w:pPr>
        <w:pStyle w:val="0"/>
        <w:spacing w:before="200" w:lineRule="auto"/>
        <w:ind w:firstLine="540"/>
        <w:jc w:val="both"/>
      </w:pPr>
      <w:r>
        <w:rPr>
          <w:sz w:val="20"/>
        </w:rPr>
        <w:t xml:space="preserve">а) тексты нормативных правовых актов, регулирующих осуществление федерального контроля;</w:t>
      </w:r>
    </w:p>
    <w:p>
      <w:pPr>
        <w:pStyle w:val="0"/>
        <w:spacing w:before="200" w:lineRule="auto"/>
        <w:ind w:firstLine="540"/>
        <w:jc w:val="both"/>
      </w:pPr>
      <w:r>
        <w:rPr>
          <w:sz w:val="20"/>
        </w:rPr>
        <w:t xml:space="preserve">б) сведения об изменениях, внесенных в нормативные правовые акты, регулирующие осуществление федерального контроля, о сроках и порядке их вступления в силу;</w:t>
      </w:r>
    </w:p>
    <w:p>
      <w:pPr>
        <w:pStyle w:val="0"/>
        <w:spacing w:before="200" w:lineRule="auto"/>
        <w:ind w:firstLine="540"/>
        <w:jc w:val="both"/>
      </w:pPr>
      <w:r>
        <w:rPr>
          <w:sz w:val="20"/>
        </w:rPr>
        <w:t xml:space="preserve">в)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г)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д) руководства по соблюдению обязательных требований, разработанные и утвержденные в соответствии с Федеральным </w:t>
      </w:r>
      <w:hyperlink w:history="0" r:id="rId79" w:tooltip="Федеральный закон от 31.07.2020 N 247-ФЗ (ред. от 09.04.2026)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е) перечень индикаторов риска нарушения обязательных требований, порядок отнесения объектов федерального контроля к категориям риска;</w:t>
      </w:r>
    </w:p>
    <w:p>
      <w:pPr>
        <w:pStyle w:val="0"/>
        <w:spacing w:before="200" w:lineRule="auto"/>
        <w:ind w:firstLine="540"/>
        <w:jc w:val="both"/>
      </w:pPr>
      <w:r>
        <w:rPr>
          <w:sz w:val="20"/>
        </w:rPr>
        <w:t xml:space="preserve">ж) перечень объектов федерального контроля, учитываемых в рамках формирования ежегодного плана контрольных (надзорных) мероприятий, с указанием категории риска;</w:t>
      </w:r>
    </w:p>
    <w:p>
      <w:pPr>
        <w:pStyle w:val="0"/>
        <w:spacing w:before="200" w:lineRule="auto"/>
        <w:ind w:firstLine="540"/>
        <w:jc w:val="both"/>
      </w:pPr>
      <w:r>
        <w:rPr>
          <w:sz w:val="20"/>
        </w:rPr>
        <w:t xml:space="preserve">з) </w:t>
      </w:r>
      <w:r>
        <w:rPr>
          <w:sz w:val="20"/>
        </w:rPr>
        <w:t xml:space="preserve">программа</w:t>
      </w:r>
      <w:r>
        <w:rPr>
          <w:sz w:val="20"/>
        </w:rPr>
        <w:t xml:space="preserve">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и) исчерпывающий перечень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к)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л)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м)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н)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о) доклады о федеральном контроле;</w:t>
      </w:r>
    </w:p>
    <w:p>
      <w:pPr>
        <w:pStyle w:val="0"/>
        <w:spacing w:before="200" w:lineRule="auto"/>
        <w:ind w:firstLine="540"/>
        <w:jc w:val="both"/>
      </w:pPr>
      <w:r>
        <w:rPr>
          <w:sz w:val="20"/>
        </w:rPr>
        <w:t xml:space="preserve">п) информация о способах и процедуре самообследования (при наличии), в том числе методические </w:t>
      </w:r>
      <w:hyperlink w:history="0" r:id="rId80" w:tooltip="&quot;Методические рекомендации по проведению самообследования и подготовке декларации соблюдения обязательных требований в области торгового мореплавания и внутреннего водного транспорта&quot; (утв. Ространснадзором 16.02.2024) {КонсультантПлюс}">
        <w:r>
          <w:rPr>
            <w:sz w:val="20"/>
            <w:color w:val="0000ff"/>
          </w:rPr>
          <w:t xml:space="preserve">рекомендации</w:t>
        </w:r>
      </w:hyperlink>
      <w:r>
        <w:rPr>
          <w:sz w:val="20"/>
        </w:rPr>
        <w:t xml:space="preserve"> по проведению самообследования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pPr>
        <w:pStyle w:val="0"/>
        <w:jc w:val="both"/>
      </w:pPr>
      <w:r>
        <w:rPr>
          <w:sz w:val="20"/>
        </w:rPr>
      </w:r>
    </w:p>
    <w:p>
      <w:pPr>
        <w:pStyle w:val="2"/>
        <w:outlineLvl w:val="2"/>
        <w:jc w:val="center"/>
      </w:pPr>
      <w:r>
        <w:rPr>
          <w:sz w:val="20"/>
        </w:rPr>
        <w:t xml:space="preserve">Обобщение правоприменительной практики</w:t>
      </w:r>
    </w:p>
    <w:p>
      <w:pPr>
        <w:pStyle w:val="0"/>
        <w:jc w:val="both"/>
      </w:pPr>
      <w:r>
        <w:rPr>
          <w:sz w:val="20"/>
        </w:rPr>
      </w:r>
    </w:p>
    <w:p>
      <w:pPr>
        <w:pStyle w:val="0"/>
        <w:ind w:firstLine="540"/>
        <w:jc w:val="both"/>
      </w:pPr>
      <w:r>
        <w:rPr>
          <w:sz w:val="20"/>
        </w:rPr>
        <w:t xml:space="preserve">24. Доклад контрольного (надзорного) органа о правоприменительной практике (далее - доклад) готовится не реже одного раза в год и утверждается руководителем контрольного (надзорного) органа не позднее 1 марта года, следующего за отчетным.</w:t>
      </w:r>
    </w:p>
    <w:p>
      <w:pPr>
        <w:pStyle w:val="0"/>
        <w:spacing w:before="200" w:lineRule="auto"/>
        <w:ind w:firstLine="540"/>
        <w:jc w:val="both"/>
      </w:pPr>
      <w:r>
        <w:rPr>
          <w:sz w:val="20"/>
        </w:rPr>
        <w:t xml:space="preserve">25. Доклад размещается на официальном сайте контрольного (надзорного) органа в сети "Интернет" в 3-дневный срок со дня его утверждения.</w:t>
      </w:r>
    </w:p>
    <w:p>
      <w:pPr>
        <w:pStyle w:val="0"/>
        <w:jc w:val="both"/>
      </w:pPr>
      <w:r>
        <w:rPr>
          <w:sz w:val="20"/>
        </w:rPr>
      </w:r>
    </w:p>
    <w:p>
      <w:pPr>
        <w:pStyle w:val="2"/>
        <w:outlineLvl w:val="2"/>
        <w:jc w:val="center"/>
      </w:pPr>
      <w:r>
        <w:rPr>
          <w:sz w:val="20"/>
        </w:rPr>
        <w:t xml:space="preserve">Меры стимулирования добросовестности</w:t>
      </w:r>
    </w:p>
    <w:p>
      <w:pPr>
        <w:pStyle w:val="0"/>
        <w:jc w:val="both"/>
      </w:pPr>
      <w:r>
        <w:rPr>
          <w:sz w:val="20"/>
        </w:rPr>
      </w:r>
    </w:p>
    <w:p>
      <w:pPr>
        <w:pStyle w:val="0"/>
        <w:ind w:firstLine="540"/>
        <w:jc w:val="both"/>
      </w:pPr>
      <w:r>
        <w:rPr>
          <w:sz w:val="20"/>
        </w:rPr>
        <w:t xml:space="preserve">26.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w:t>
      </w:r>
    </w:p>
    <w:p>
      <w:pPr>
        <w:pStyle w:val="0"/>
        <w:spacing w:before="200" w:lineRule="auto"/>
        <w:ind w:firstLine="540"/>
        <w:jc w:val="both"/>
      </w:pPr>
      <w:r>
        <w:rPr>
          <w:sz w:val="20"/>
        </w:rPr>
        <w:t xml:space="preserve">27. В случае соответствия контролируемого лица критериям добросовестности присвоенная категория риска понижается на одну категорию.</w:t>
      </w:r>
    </w:p>
    <w:p>
      <w:pPr>
        <w:pStyle w:val="0"/>
        <w:spacing w:before="200" w:lineRule="auto"/>
        <w:ind w:firstLine="540"/>
        <w:jc w:val="both"/>
      </w:pPr>
      <w:r>
        <w:rPr>
          <w:sz w:val="20"/>
        </w:rPr>
        <w:t xml:space="preserve">28. Оценка добросовестности контролируемых лиц проводится с учетом сведений (при наличии), установленных </w:t>
      </w:r>
      <w:hyperlink w:history="0" r:id="rId8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7 статьи 23</w:t>
        </w:r>
      </w:hyperlink>
      <w:r>
        <w:rPr>
          <w:sz w:val="20"/>
        </w:rPr>
        <w:t xml:space="preserve"> Федерального закона.</w:t>
      </w:r>
    </w:p>
    <w:bookmarkStart w:id="185" w:name="P185"/>
    <w:bookmarkEnd w:id="185"/>
    <w:p>
      <w:pPr>
        <w:pStyle w:val="0"/>
        <w:spacing w:before="200" w:lineRule="auto"/>
        <w:ind w:firstLine="540"/>
        <w:jc w:val="both"/>
      </w:pPr>
      <w:r>
        <w:rPr>
          <w:sz w:val="20"/>
        </w:rPr>
        <w:t xml:space="preserve">29. Критериями добросовестности контролируемого лица являются:</w:t>
      </w:r>
    </w:p>
    <w:p>
      <w:pPr>
        <w:pStyle w:val="0"/>
        <w:spacing w:before="200" w:lineRule="auto"/>
        <w:ind w:firstLine="540"/>
        <w:jc w:val="both"/>
      </w:pPr>
      <w:r>
        <w:rPr>
          <w:sz w:val="20"/>
        </w:rPr>
        <w:t xml:space="preserve">а) добровольное участие контролируемого лица в проведении в отношении его деятельности мониторинга и заключение соглашения о мониторинге между контрольным (надзорным) органом и контролируемым лицом;</w:t>
      </w:r>
    </w:p>
    <w:p>
      <w:pPr>
        <w:pStyle w:val="0"/>
        <w:spacing w:before="200" w:lineRule="auto"/>
        <w:ind w:firstLine="540"/>
        <w:jc w:val="both"/>
      </w:pPr>
      <w:r>
        <w:rPr>
          <w:sz w:val="20"/>
        </w:rPr>
        <w:t xml:space="preserve">б) принятие и представление контролируемым лицом в контрольный (надзорный) орган декларации соблюдения обязательных требований, основанной на проведенной оценке соблюдения обязательных требований;</w:t>
      </w:r>
    </w:p>
    <w:p>
      <w:pPr>
        <w:pStyle w:val="0"/>
        <w:spacing w:before="200" w:lineRule="auto"/>
        <w:ind w:firstLine="540"/>
        <w:jc w:val="both"/>
      </w:pPr>
      <w:r>
        <w:rPr>
          <w:sz w:val="20"/>
        </w:rPr>
        <w:t xml:space="preserve">в) принятие контролируемым лицом мер, направленных на повышение уровня безопасности охраняемых законом ценностей посредством заключения договора добровольного страхования рисков причинения вреда (ущерба) охраняемым законом ценностям, вследствие нарушения контролируемым лицом обязательных требований.</w:t>
      </w:r>
    </w:p>
    <w:p>
      <w:pPr>
        <w:pStyle w:val="0"/>
        <w:spacing w:before="200" w:lineRule="auto"/>
        <w:ind w:firstLine="540"/>
        <w:jc w:val="both"/>
      </w:pPr>
      <w:r>
        <w:rPr>
          <w:sz w:val="20"/>
        </w:rPr>
        <w:t xml:space="preserve">30. Оценка добросовестности контролируемого лица осуществляется при рассмотрении контрольным (надзорным) органом копий документов, подтверждающих выполнение мероприятий, указанных в </w:t>
      </w:r>
      <w:hyperlink w:history="0" w:anchor="P185" w:tooltip="29. Критериями добросовестности контролируемого лица являются:">
        <w:r>
          <w:rPr>
            <w:sz w:val="20"/>
            <w:color w:val="0000ff"/>
          </w:rPr>
          <w:t xml:space="preserve">пункте 29</w:t>
        </w:r>
      </w:hyperlink>
      <w:r>
        <w:rPr>
          <w:sz w:val="20"/>
        </w:rPr>
        <w:t xml:space="preserve"> настоящего Положения.</w:t>
      </w:r>
    </w:p>
    <w:p>
      <w:pPr>
        <w:pStyle w:val="0"/>
        <w:spacing w:before="200" w:lineRule="auto"/>
        <w:ind w:firstLine="540"/>
        <w:jc w:val="both"/>
      </w:pPr>
      <w:r>
        <w:rPr>
          <w:sz w:val="20"/>
        </w:rPr>
        <w:t xml:space="preserve">Копии документов представляются на бумажных носителях или по электронной почте. Копии документов, предоставляемые на бумажных носителях, подписываются руководителем контролируемого лица и заверяются печатью (при наличии) организации.</w:t>
      </w:r>
    </w:p>
    <w:p>
      <w:pPr>
        <w:pStyle w:val="0"/>
        <w:spacing w:before="200" w:lineRule="auto"/>
        <w:ind w:firstLine="540"/>
        <w:jc w:val="both"/>
      </w:pPr>
      <w:r>
        <w:rPr>
          <w:sz w:val="20"/>
        </w:rPr>
        <w:t xml:space="preserve">31. Должностное лицо контрольного (надзорного) органа в течение 3 рабочих дней рассматривает представленные документы и направляет должностному лицу, указанному в </w:t>
      </w:r>
      <w:hyperlink w:history="0" w:anchor="P70" w:tooltip="5. Должностными лицами, уполномоченными на принятие решений о проведении контрольных (надзорных) мероприятий, являются:">
        <w:r>
          <w:rPr>
            <w:sz w:val="20"/>
            <w:color w:val="0000ff"/>
          </w:rPr>
          <w:t xml:space="preserve">пункте 5</w:t>
        </w:r>
      </w:hyperlink>
      <w:r>
        <w:rPr>
          <w:sz w:val="20"/>
        </w:rPr>
        <w:t xml:space="preserve"> настоящего Положения, мотивированное решение о соответствии либо несоответствии контролируемого лица критериям добросовестности.</w:t>
      </w:r>
    </w:p>
    <w:p>
      <w:pPr>
        <w:pStyle w:val="0"/>
        <w:spacing w:before="200" w:lineRule="auto"/>
        <w:ind w:firstLine="540"/>
        <w:jc w:val="both"/>
      </w:pPr>
      <w:r>
        <w:rPr>
          <w:sz w:val="20"/>
        </w:rPr>
        <w:t xml:space="preserve">32. Понижение или отказ в понижении категории риска оформляется распоряжением должностного лица, указанного в </w:t>
      </w:r>
      <w:hyperlink w:history="0" w:anchor="P70" w:tooltip="5. Должностными лицами, уполномоченными на принятие решений о проведении контрольных (надзорных) мероприятий, являются:">
        <w:r>
          <w:rPr>
            <w:sz w:val="20"/>
            <w:color w:val="0000ff"/>
          </w:rPr>
          <w:t xml:space="preserve">пункте 5</w:t>
        </w:r>
      </w:hyperlink>
      <w:r>
        <w:rPr>
          <w:sz w:val="20"/>
        </w:rPr>
        <w:t xml:space="preserve"> настоящего Положения.</w:t>
      </w:r>
    </w:p>
    <w:p>
      <w:pPr>
        <w:pStyle w:val="0"/>
        <w:spacing w:before="200" w:lineRule="auto"/>
        <w:ind w:firstLine="540"/>
        <w:jc w:val="both"/>
      </w:pPr>
      <w:r>
        <w:rPr>
          <w:sz w:val="20"/>
        </w:rPr>
        <w:t xml:space="preserve">Распоряжение направляется контролируемому лицу в течение одного рабочего дня.</w:t>
      </w:r>
    </w:p>
    <w:p>
      <w:pPr>
        <w:pStyle w:val="0"/>
        <w:jc w:val="both"/>
      </w:pPr>
      <w:r>
        <w:rPr>
          <w:sz w:val="20"/>
        </w:rPr>
      </w:r>
    </w:p>
    <w:p>
      <w:pPr>
        <w:pStyle w:val="2"/>
        <w:outlineLvl w:val="2"/>
        <w:jc w:val="center"/>
      </w:pPr>
      <w:r>
        <w:rPr>
          <w:sz w:val="20"/>
        </w:rPr>
        <w:t xml:space="preserve">Объявление предостережения</w:t>
      </w:r>
    </w:p>
    <w:p>
      <w:pPr>
        <w:pStyle w:val="0"/>
        <w:jc w:val="both"/>
      </w:pPr>
      <w:r>
        <w:rPr>
          <w:sz w:val="20"/>
        </w:rPr>
      </w:r>
    </w:p>
    <w:p>
      <w:pPr>
        <w:pStyle w:val="0"/>
        <w:ind w:firstLine="540"/>
        <w:jc w:val="both"/>
      </w:pPr>
      <w:r>
        <w:rPr>
          <w:sz w:val="20"/>
        </w:rPr>
        <w:t xml:space="preserve">33.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и предлагает принять меры по обеспечению соблюдения обязательных требований.</w:t>
      </w:r>
    </w:p>
    <w:p>
      <w:pPr>
        <w:pStyle w:val="0"/>
        <w:spacing w:before="200" w:lineRule="auto"/>
        <w:ind w:firstLine="540"/>
        <w:jc w:val="both"/>
      </w:pPr>
      <w:r>
        <w:rPr>
          <w:sz w:val="20"/>
        </w:rPr>
        <w:t xml:space="preserve">34. В отношении предостережения контролируемое лицо вправе подать возражение.</w:t>
      </w:r>
    </w:p>
    <w:p>
      <w:pPr>
        <w:pStyle w:val="0"/>
        <w:spacing w:before="200" w:lineRule="auto"/>
        <w:ind w:firstLine="540"/>
        <w:jc w:val="both"/>
      </w:pPr>
      <w:r>
        <w:rPr>
          <w:sz w:val="20"/>
        </w:rPr>
        <w:t xml:space="preserve">35. Возражение может быть подано в течение 7 рабочих дней со дня получения контролируемым лицом предостережения.</w:t>
      </w:r>
    </w:p>
    <w:p>
      <w:pPr>
        <w:pStyle w:val="0"/>
        <w:spacing w:before="200" w:lineRule="auto"/>
        <w:ind w:firstLine="540"/>
        <w:jc w:val="both"/>
      </w:pPr>
      <w:r>
        <w:rPr>
          <w:sz w:val="20"/>
        </w:rPr>
        <w:t xml:space="preserve">36. Подача возражения осуществляется в следующем порядке:</w:t>
      </w:r>
    </w:p>
    <w:p>
      <w:pPr>
        <w:pStyle w:val="0"/>
        <w:spacing w:before="200" w:lineRule="auto"/>
        <w:ind w:firstLine="540"/>
        <w:jc w:val="both"/>
      </w:pPr>
      <w:r>
        <w:rPr>
          <w:sz w:val="20"/>
        </w:rPr>
        <w:t xml:space="preserve">а) возражение подается (направляется) контролируемым лицом в контрольный (надзорный) орган, направивший предостережение, в бумажном виде почтовым отправлением либо в виде электронного документа;</w:t>
      </w:r>
    </w:p>
    <w:p>
      <w:pPr>
        <w:pStyle w:val="0"/>
        <w:spacing w:before="200" w:lineRule="auto"/>
        <w:ind w:firstLine="540"/>
        <w:jc w:val="both"/>
      </w:pPr>
      <w:r>
        <w:rPr>
          <w:sz w:val="20"/>
        </w:rPr>
        <w:t xml:space="preserve">б) в возражении указываются:</w:t>
      </w:r>
    </w:p>
    <w:p>
      <w:pPr>
        <w:pStyle w:val="0"/>
        <w:spacing w:before="200" w:lineRule="auto"/>
        <w:ind w:firstLine="540"/>
        <w:jc w:val="both"/>
      </w:pPr>
      <w:r>
        <w:rPr>
          <w:sz w:val="20"/>
        </w:rPr>
        <w:t xml:space="preserve">наименование юридического лица или фамилия, имя, отчество (при наличии) физического лица;</w:t>
      </w:r>
    </w:p>
    <w:p>
      <w:pPr>
        <w:pStyle w:val="0"/>
        <w:spacing w:before="200" w:lineRule="auto"/>
        <w:ind w:firstLine="540"/>
        <w:jc w:val="both"/>
      </w:pPr>
      <w:r>
        <w:rPr>
          <w:sz w:val="20"/>
        </w:rPr>
        <w:t xml:space="preserve">идентификационный номер налогоплательщика - юридического лица, индивидуального предпринимателя;</w:t>
      </w:r>
    </w:p>
    <w:p>
      <w:pPr>
        <w:pStyle w:val="0"/>
        <w:spacing w:before="200" w:lineRule="auto"/>
        <w:ind w:firstLine="540"/>
        <w:jc w:val="both"/>
      </w:pPr>
      <w:r>
        <w:rPr>
          <w:sz w:val="20"/>
        </w:rPr>
        <w:t xml:space="preserve">дата и номер предостережения, направленного в адрес контролируемого лица;</w:t>
      </w:r>
    </w:p>
    <w:p>
      <w:pPr>
        <w:pStyle w:val="0"/>
        <w:spacing w:before="200" w:lineRule="auto"/>
        <w:ind w:firstLine="540"/>
        <w:jc w:val="both"/>
      </w:pPr>
      <w:r>
        <w:rPr>
          <w:sz w:val="20"/>
        </w:rPr>
        <w:t xml:space="preserve">обоснование позиции в отношении сведений, указанных в предостережении.</w:t>
      </w:r>
    </w:p>
    <w:p>
      <w:pPr>
        <w:pStyle w:val="0"/>
        <w:spacing w:before="200" w:lineRule="auto"/>
        <w:ind w:firstLine="540"/>
        <w:jc w:val="both"/>
      </w:pPr>
      <w:r>
        <w:rPr>
          <w:sz w:val="20"/>
        </w:rPr>
        <w:t xml:space="preserve">37. Возражение подлежит рассмотрению контрольным (надзорным) органом в срок не более 10 рабочих дней со дня его регистрации.</w:t>
      </w:r>
    </w:p>
    <w:p>
      <w:pPr>
        <w:pStyle w:val="0"/>
        <w:spacing w:before="200" w:lineRule="auto"/>
        <w:ind w:firstLine="540"/>
        <w:jc w:val="both"/>
      </w:pPr>
      <w:r>
        <w:rPr>
          <w:sz w:val="20"/>
        </w:rPr>
        <w:t xml:space="preserve">38. По итогам рассмотрения возражения контрольный (надзорный) орган принимает одно из следующих решений:</w:t>
      </w:r>
    </w:p>
    <w:p>
      <w:pPr>
        <w:pStyle w:val="0"/>
        <w:spacing w:before="200" w:lineRule="auto"/>
        <w:ind w:firstLine="540"/>
        <w:jc w:val="both"/>
      </w:pPr>
      <w:r>
        <w:rPr>
          <w:sz w:val="20"/>
        </w:rPr>
        <w:t xml:space="preserve">а) оставляет возражение без удовлетворения;</w:t>
      </w:r>
    </w:p>
    <w:p>
      <w:pPr>
        <w:pStyle w:val="0"/>
        <w:spacing w:before="200" w:lineRule="auto"/>
        <w:ind w:firstLine="540"/>
        <w:jc w:val="both"/>
      </w:pPr>
      <w:r>
        <w:rPr>
          <w:sz w:val="20"/>
        </w:rPr>
        <w:t xml:space="preserve">б) отменяет предостережение полностью или частично.</w:t>
      </w:r>
    </w:p>
    <w:p>
      <w:pPr>
        <w:pStyle w:val="0"/>
        <w:spacing w:before="200" w:lineRule="auto"/>
        <w:ind w:firstLine="540"/>
        <w:jc w:val="both"/>
      </w:pPr>
      <w:r>
        <w:rPr>
          <w:sz w:val="20"/>
        </w:rPr>
        <w:t xml:space="preserve">39. Информация о принятом решении направляется лицу, подавшему возражение, в течение одного рабочего дня со дня принятия решения.</w:t>
      </w:r>
    </w:p>
    <w:p>
      <w:pPr>
        <w:pStyle w:val="0"/>
        <w:jc w:val="both"/>
      </w:pPr>
      <w:r>
        <w:rPr>
          <w:sz w:val="20"/>
        </w:rPr>
      </w:r>
    </w:p>
    <w:p>
      <w:pPr>
        <w:pStyle w:val="2"/>
        <w:outlineLvl w:val="2"/>
        <w:jc w:val="center"/>
      </w:pPr>
      <w:r>
        <w:rPr>
          <w:sz w:val="20"/>
        </w:rPr>
        <w:t xml:space="preserve">Консультирование</w:t>
      </w:r>
    </w:p>
    <w:p>
      <w:pPr>
        <w:pStyle w:val="0"/>
        <w:jc w:val="both"/>
      </w:pPr>
      <w:r>
        <w:rPr>
          <w:sz w:val="20"/>
        </w:rPr>
      </w:r>
    </w:p>
    <w:p>
      <w:pPr>
        <w:pStyle w:val="0"/>
        <w:ind w:firstLine="540"/>
        <w:jc w:val="both"/>
      </w:pPr>
      <w:r>
        <w:rPr>
          <w:sz w:val="20"/>
        </w:rPr>
        <w:t xml:space="preserve">40. Должностными лицами контрольного (надзорного) органа может осуществляться консультирование контролируемых лиц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По итогам консультирования информация в письменном виде контролируемым лицам не представляется.</w:t>
      </w:r>
    </w:p>
    <w:p>
      <w:pPr>
        <w:pStyle w:val="0"/>
        <w:spacing w:before="200" w:lineRule="auto"/>
        <w:ind w:firstLine="540"/>
        <w:jc w:val="both"/>
      </w:pPr>
      <w:r>
        <w:rPr>
          <w:sz w:val="20"/>
        </w:rPr>
        <w:t xml:space="preserve">Консультирование осуществляется по следующим вопросам:</w:t>
      </w:r>
    </w:p>
    <w:p>
      <w:pPr>
        <w:pStyle w:val="0"/>
        <w:spacing w:before="200" w:lineRule="auto"/>
        <w:ind w:firstLine="540"/>
        <w:jc w:val="both"/>
      </w:pPr>
      <w:r>
        <w:rPr>
          <w:sz w:val="20"/>
        </w:rPr>
        <w:t xml:space="preserve">осуществление контрольных (надзорных) мероприятий в рамках федерального контроля;</w:t>
      </w:r>
    </w:p>
    <w:p>
      <w:pPr>
        <w:pStyle w:val="0"/>
        <w:spacing w:before="200" w:lineRule="auto"/>
        <w:ind w:firstLine="540"/>
        <w:jc w:val="both"/>
      </w:pPr>
      <w:r>
        <w:rPr>
          <w:sz w:val="20"/>
        </w:rPr>
        <w:t xml:space="preserve">исполнение обязательных требований, являющихся предметом федерального контроля;</w:t>
      </w:r>
    </w:p>
    <w:p>
      <w:pPr>
        <w:pStyle w:val="0"/>
        <w:spacing w:before="200" w:lineRule="auto"/>
        <w:ind w:firstLine="540"/>
        <w:jc w:val="both"/>
      </w:pPr>
      <w:r>
        <w:rPr>
          <w:sz w:val="20"/>
        </w:rPr>
        <w:t xml:space="preserve">по вопросам проведения профилактических мероприятий;</w:t>
      </w:r>
    </w:p>
    <w:p>
      <w:pPr>
        <w:pStyle w:val="0"/>
        <w:spacing w:before="200" w:lineRule="auto"/>
        <w:ind w:firstLine="540"/>
        <w:jc w:val="both"/>
      </w:pPr>
      <w:r>
        <w:rPr>
          <w:sz w:val="20"/>
        </w:rPr>
        <w:t xml:space="preserve">режима работы территориальных органов контрольного (надзорного) органа.</w:t>
      </w:r>
    </w:p>
    <w:p>
      <w:pPr>
        <w:pStyle w:val="0"/>
        <w:spacing w:before="200" w:lineRule="auto"/>
        <w:ind w:firstLine="540"/>
        <w:jc w:val="both"/>
      </w:pPr>
      <w:r>
        <w:rPr>
          <w:sz w:val="20"/>
        </w:rPr>
        <w:t xml:space="preserve">41. Консультирование контролируемых лиц по 3 и более однотипным обращениям осуществляется по мере их поступления посредством размещения на официальном сайте контрольного (надзорного) органа в сети "Интернет" письменного разъяснения по вопросам, изложенным в таких обращениях, подписанного уполномоченным должностным лицом.</w:t>
      </w:r>
    </w:p>
    <w:p>
      <w:pPr>
        <w:pStyle w:val="0"/>
        <w:jc w:val="both"/>
      </w:pPr>
      <w:r>
        <w:rPr>
          <w:sz w:val="20"/>
        </w:rPr>
      </w:r>
    </w:p>
    <w:p>
      <w:pPr>
        <w:pStyle w:val="2"/>
        <w:outlineLvl w:val="2"/>
        <w:jc w:val="center"/>
      </w:pPr>
      <w:r>
        <w:rPr>
          <w:sz w:val="20"/>
        </w:rPr>
        <w:t xml:space="preserve">Самообследование</w:t>
      </w:r>
    </w:p>
    <w:p>
      <w:pPr>
        <w:pStyle w:val="0"/>
        <w:jc w:val="both"/>
      </w:pPr>
      <w:r>
        <w:rPr>
          <w:sz w:val="20"/>
        </w:rPr>
      </w:r>
    </w:p>
    <w:p>
      <w:pPr>
        <w:pStyle w:val="0"/>
        <w:ind w:firstLine="540"/>
        <w:jc w:val="both"/>
      </w:pPr>
      <w:r>
        <w:rPr>
          <w:sz w:val="20"/>
        </w:rPr>
        <w:t xml:space="preserve">42. Контролируемое лицо, получившее высокую оценку соблюдения им обязательных требований по итогам самообследования, вправе принять декларацию соблюдения обязательных требований (далее - декларация).</w:t>
      </w:r>
    </w:p>
    <w:p>
      <w:pPr>
        <w:pStyle w:val="0"/>
        <w:spacing w:before="200" w:lineRule="auto"/>
        <w:ind w:firstLine="540"/>
        <w:jc w:val="both"/>
      </w:pPr>
      <w:r>
        <w:rPr>
          <w:sz w:val="20"/>
        </w:rPr>
        <w:t xml:space="preserve">43. Декларация направляется контролируемым лицом в контрольный (надзорный) орган.</w:t>
      </w:r>
    </w:p>
    <w:p>
      <w:pPr>
        <w:pStyle w:val="0"/>
        <w:spacing w:before="200" w:lineRule="auto"/>
        <w:ind w:firstLine="540"/>
        <w:jc w:val="both"/>
      </w:pPr>
      <w:r>
        <w:rPr>
          <w:sz w:val="20"/>
        </w:rPr>
        <w:t xml:space="preserve">44. Контрольный (надзорный) орган регистрирует декларацию и размещает на своем официальном сайте в сети "Интернет" информацию о контролируемом лице, успешно прошедшем самообследование и принявшем декларацию.</w:t>
      </w:r>
    </w:p>
    <w:p>
      <w:pPr>
        <w:pStyle w:val="0"/>
        <w:spacing w:before="200" w:lineRule="auto"/>
        <w:ind w:firstLine="540"/>
        <w:jc w:val="both"/>
      </w:pPr>
      <w:r>
        <w:rPr>
          <w:sz w:val="20"/>
        </w:rPr>
        <w:t xml:space="preserve">45. Срок действия декларации составляет один календарный год со дня регистрации контрольным (надзорным) органом декларации.</w:t>
      </w:r>
    </w:p>
    <w:p>
      <w:pPr>
        <w:pStyle w:val="0"/>
        <w:spacing w:before="200" w:lineRule="auto"/>
        <w:ind w:firstLine="540"/>
        <w:jc w:val="both"/>
      </w:pPr>
      <w:r>
        <w:rPr>
          <w:sz w:val="20"/>
        </w:rPr>
        <w:t xml:space="preserve">46.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аннулируется решением, принимаемым по результатам контрольного (надзорного) мероприятия.</w:t>
      </w:r>
    </w:p>
    <w:p>
      <w:pPr>
        <w:pStyle w:val="0"/>
        <w:jc w:val="both"/>
      </w:pPr>
      <w:r>
        <w:rPr>
          <w:sz w:val="20"/>
        </w:rPr>
        <w:t xml:space="preserve">(в ред. </w:t>
      </w:r>
      <w:hyperlink w:history="0" r:id="rId82"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47. В случае изменения сведений, содержащихся в декларации,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48. В случае аннулирования декларации контролируемое лицо может вновь принять декларацию по истечении одного года с даты ее аннулирования.</w:t>
      </w:r>
    </w:p>
    <w:p>
      <w:pPr>
        <w:pStyle w:val="0"/>
        <w:jc w:val="both"/>
      </w:pPr>
      <w:r>
        <w:rPr>
          <w:sz w:val="20"/>
        </w:rPr>
      </w:r>
    </w:p>
    <w:p>
      <w:pPr>
        <w:pStyle w:val="2"/>
        <w:outlineLvl w:val="2"/>
        <w:jc w:val="center"/>
      </w:pPr>
      <w:r>
        <w:rPr>
          <w:sz w:val="20"/>
        </w:rPr>
        <w:t xml:space="preserve">Профилактический визит</w:t>
      </w:r>
    </w:p>
    <w:p>
      <w:pPr>
        <w:pStyle w:val="0"/>
        <w:jc w:val="both"/>
      </w:pPr>
      <w:r>
        <w:rPr>
          <w:sz w:val="20"/>
        </w:rPr>
      </w:r>
    </w:p>
    <w:p>
      <w:pPr>
        <w:pStyle w:val="0"/>
        <w:ind w:firstLine="540"/>
        <w:jc w:val="both"/>
      </w:pPr>
      <w:r>
        <w:rPr>
          <w:sz w:val="20"/>
        </w:rPr>
        <w:t xml:space="preserve">49. 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jc w:val="both"/>
      </w:pPr>
      <w:r>
        <w:rPr>
          <w:sz w:val="20"/>
        </w:rPr>
        <w:t xml:space="preserve">(п. 49 в ред. </w:t>
      </w:r>
      <w:hyperlink w:history="0" r:id="rId83"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50. В ходе профилактического визита инспектор информирует контролируемое лицо об обязательных требованиях, предъявляемых к его деятельности либо к принадлежащим ему объектам федерального контроля, их соответствии критериям риска, о рекомендуемых способах снижения категории риска, видах, содержании и интенсивности мероприятий, проводимых в отношении объекта федерального контроля исходя из его отнесения к соответствующей категории риска, а также осуществляет ознакомление с объектом федерального контроля, сбор сведений, необходимых для отнесения объекта федерального контроля к категории риска, и проводит оценку уровня соблюдения контролируемым лицом обязательных требований.</w:t>
      </w:r>
    </w:p>
    <w:p>
      <w:pPr>
        <w:pStyle w:val="0"/>
        <w:jc w:val="both"/>
      </w:pPr>
      <w:r>
        <w:rPr>
          <w:sz w:val="20"/>
        </w:rPr>
        <w:t xml:space="preserve">(п. 50 в ред. </w:t>
      </w:r>
      <w:hyperlink w:history="0" r:id="rId84"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51.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jc w:val="both"/>
      </w:pPr>
      <w:r>
        <w:rPr>
          <w:sz w:val="20"/>
        </w:rPr>
        <w:t xml:space="preserve">(п. 51 в ред. </w:t>
      </w:r>
      <w:hyperlink w:history="0" r:id="rId85"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52. Обязательный профилактический визит проводится:</w:t>
      </w:r>
    </w:p>
    <w:p>
      <w:pPr>
        <w:pStyle w:val="0"/>
        <w:spacing w:before="200" w:lineRule="auto"/>
        <w:ind w:firstLine="540"/>
        <w:jc w:val="both"/>
      </w:pPr>
      <w:r>
        <w:rPr>
          <w:sz w:val="20"/>
        </w:rPr>
        <w:t xml:space="preserve">а) в отношении контролируемых лиц, принадлежащих им объектов федерального контроля, отнесенных к категориям высокого, значительного и среднего риска, с периодичностью, установленной </w:t>
      </w:r>
      <w:hyperlink w:history="0" w:anchor="P133" w:tooltip="16. В отношении контролируемого лица и принадлежащих ему объектов федерального контроля проводятся:">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б) по поручению:</w:t>
      </w:r>
    </w:p>
    <w:p>
      <w:pPr>
        <w:pStyle w:val="0"/>
        <w:spacing w:before="200" w:lineRule="auto"/>
        <w:ind w:firstLine="540"/>
        <w:jc w:val="both"/>
      </w:pPr>
      <w:r>
        <w:rPr>
          <w:sz w:val="20"/>
        </w:rPr>
        <w:t xml:space="preserve">Президента Российской Федерации;</w:t>
      </w:r>
    </w:p>
    <w:p>
      <w:pPr>
        <w:pStyle w:val="0"/>
        <w:spacing w:before="200" w:lineRule="auto"/>
        <w:ind w:firstLine="540"/>
        <w:jc w:val="both"/>
      </w:pPr>
      <w:r>
        <w:rPr>
          <w:sz w:val="20"/>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0"/>
        <w:jc w:val="both"/>
      </w:pPr>
      <w:r>
        <w:rPr>
          <w:sz w:val="20"/>
        </w:rPr>
        <w:t xml:space="preserve">(п. 52 в ред. </w:t>
      </w:r>
      <w:hyperlink w:history="0" r:id="rId86"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53. Обязательный профилактический визит проводится в порядке, предусмотренном </w:t>
      </w:r>
      <w:hyperlink w:history="0" r:id="rId8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52.1</w:t>
        </w:r>
      </w:hyperlink>
      <w:r>
        <w:rPr>
          <w:sz w:val="20"/>
        </w:rPr>
        <w:t xml:space="preserve"> Федерального закона.</w:t>
      </w:r>
    </w:p>
    <w:p>
      <w:pPr>
        <w:pStyle w:val="0"/>
        <w:spacing w:before="200" w:lineRule="auto"/>
        <w:ind w:firstLine="540"/>
        <w:jc w:val="both"/>
      </w:pPr>
      <w:r>
        <w:rPr>
          <w:sz w:val="20"/>
        </w:rPr>
        <w:t xml:space="preserve">Осмотр в рамках проведения обязательного профилактического визита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При осуществлении осмотра в рамках обязательного профилактического визита фотосъемка или видеозапись осуществляется с использованием мобильного приложения "Инспектор".</w:t>
      </w:r>
    </w:p>
    <w:p>
      <w:pPr>
        <w:pStyle w:val="0"/>
        <w:jc w:val="both"/>
      </w:pPr>
      <w:r>
        <w:rPr>
          <w:sz w:val="20"/>
        </w:rPr>
        <w:t xml:space="preserve">(п. 53 в ред. </w:t>
      </w:r>
      <w:hyperlink w:history="0" r:id="rId88"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53(1).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w:history="0" r:id="rId8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90</w:t>
        </w:r>
      </w:hyperlink>
      <w:r>
        <w:rPr>
          <w:sz w:val="20"/>
        </w:rPr>
        <w:t xml:space="preserve"> Федерального закона для контрольных (надзорных) мероприятий.</w:t>
      </w:r>
    </w:p>
    <w:p>
      <w:pPr>
        <w:pStyle w:val="0"/>
        <w:jc w:val="both"/>
      </w:pPr>
      <w:r>
        <w:rPr>
          <w:sz w:val="20"/>
        </w:rPr>
        <w:t xml:space="preserve">(п. 53(1) введен </w:t>
      </w:r>
      <w:hyperlink w:history="0" r:id="rId90"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02.09.2025 N 1354)</w:t>
      </w:r>
    </w:p>
    <w:p>
      <w:pPr>
        <w:pStyle w:val="0"/>
        <w:spacing w:before="200" w:lineRule="auto"/>
        <w:ind w:firstLine="540"/>
        <w:jc w:val="both"/>
      </w:pPr>
      <w:r>
        <w:rPr>
          <w:sz w:val="20"/>
        </w:rPr>
        <w:t xml:space="preserve">53(2). Профилактический визит по инициативе контролируемого лица проводится в порядке, предусмотренном </w:t>
      </w:r>
      <w:hyperlink w:history="0" r:id="rId9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52.2</w:t>
        </w:r>
      </w:hyperlink>
      <w:r>
        <w:rPr>
          <w:sz w:val="20"/>
        </w:rPr>
        <w:t xml:space="preserve"> Федерального закона.</w:t>
      </w:r>
    </w:p>
    <w:p>
      <w:pPr>
        <w:pStyle w:val="0"/>
        <w:jc w:val="both"/>
      </w:pPr>
      <w:r>
        <w:rPr>
          <w:sz w:val="20"/>
        </w:rPr>
        <w:t xml:space="preserve">(п. 53(2) введен </w:t>
      </w:r>
      <w:hyperlink w:history="0" r:id="rId92"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02.09.2025 N 1354)</w:t>
      </w:r>
    </w:p>
    <w:p>
      <w:pPr>
        <w:pStyle w:val="0"/>
        <w:jc w:val="both"/>
      </w:pPr>
      <w:r>
        <w:rPr>
          <w:sz w:val="20"/>
        </w:rPr>
      </w:r>
    </w:p>
    <w:p>
      <w:pPr>
        <w:pStyle w:val="2"/>
        <w:outlineLvl w:val="1"/>
        <w:jc w:val="center"/>
      </w:pPr>
      <w:r>
        <w:rPr>
          <w:sz w:val="20"/>
        </w:rPr>
        <w:t xml:space="preserve">IV. Осуществление федерального контроля</w:t>
      </w:r>
    </w:p>
    <w:p>
      <w:pPr>
        <w:pStyle w:val="0"/>
        <w:jc w:val="both"/>
      </w:pPr>
      <w:r>
        <w:rPr>
          <w:sz w:val="20"/>
        </w:rPr>
      </w:r>
    </w:p>
    <w:p>
      <w:pPr>
        <w:pStyle w:val="0"/>
        <w:ind w:firstLine="540"/>
        <w:jc w:val="both"/>
      </w:pPr>
      <w:r>
        <w:rPr>
          <w:sz w:val="20"/>
        </w:rPr>
        <w:t xml:space="preserve">54.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pPr>
        <w:pStyle w:val="0"/>
        <w:spacing w:before="200" w:lineRule="auto"/>
        <w:ind w:firstLine="540"/>
        <w:jc w:val="both"/>
      </w:pPr>
      <w:r>
        <w:rPr>
          <w:sz w:val="20"/>
        </w:rPr>
        <w:t xml:space="preserve">55. В решении о проведении контрольного (надзорного) мероприятия указываются сведения, установленные </w:t>
      </w:r>
      <w:hyperlink w:history="0" r:id="rId9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64</w:t>
        </w:r>
      </w:hyperlink>
      <w:r>
        <w:rPr>
          <w:sz w:val="20"/>
        </w:rPr>
        <w:t xml:space="preserve"> Федерального закона.</w:t>
      </w:r>
    </w:p>
    <w:p>
      <w:pPr>
        <w:pStyle w:val="0"/>
        <w:spacing w:before="200" w:lineRule="auto"/>
        <w:ind w:firstLine="540"/>
        <w:jc w:val="both"/>
      </w:pPr>
      <w:r>
        <w:rPr>
          <w:sz w:val="20"/>
        </w:rPr>
        <w:t xml:space="preserve">56. Если в ходе контрольного (надзорного) мероприятия используются средства фото-, аудио- и видеофиксации, то в акте контрольного (надзорного) мероприятия делается соответствующая запись (далее - акт).</w:t>
      </w:r>
    </w:p>
    <w:p>
      <w:pPr>
        <w:pStyle w:val="0"/>
        <w:spacing w:before="200" w:lineRule="auto"/>
        <w:ind w:firstLine="540"/>
        <w:jc w:val="both"/>
      </w:pPr>
      <w:r>
        <w:rPr>
          <w:sz w:val="20"/>
        </w:rPr>
        <w:t xml:space="preserve">57.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авиационных систем, космических аппаратов.</w:t>
      </w:r>
    </w:p>
    <w:p>
      <w:pPr>
        <w:pStyle w:val="0"/>
        <w:spacing w:before="200" w:lineRule="auto"/>
        <w:ind w:firstLine="540"/>
        <w:jc w:val="both"/>
      </w:pPr>
      <w:r>
        <w:rPr>
          <w:sz w:val="20"/>
        </w:rPr>
        <w:t xml:space="preserve">Беспилотные авиационные системы, оборудованные средствами дистанционного зондирования Земли, используются при проведении контрольных (надзорных) мероприятий с учетом нормативных актов, регулирующих отношения в области использования воздушного пространства, и законодательства Российской Федерации о государственной тайне.</w:t>
      </w:r>
    </w:p>
    <w:p>
      <w:pPr>
        <w:pStyle w:val="0"/>
        <w:jc w:val="both"/>
      </w:pPr>
      <w:r>
        <w:rPr>
          <w:sz w:val="20"/>
        </w:rPr>
        <w:t xml:space="preserve">(п. 57 в ред. </w:t>
      </w:r>
      <w:hyperlink w:history="0" r:id="rId94"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58. Порядок осуществления фотосъемки, аудио- и (или) видеозаписи, иных способов фиксации доказательств нарушений, в ходе контрольного (надзорного) мероприятия включает в себя:</w:t>
      </w:r>
    </w:p>
    <w:p>
      <w:pPr>
        <w:pStyle w:val="0"/>
        <w:spacing w:before="200" w:lineRule="auto"/>
        <w:ind w:firstLine="540"/>
        <w:jc w:val="both"/>
      </w:pPr>
      <w:r>
        <w:rPr>
          <w:sz w:val="20"/>
        </w:rPr>
        <w:t xml:space="preserve">а) принятие должностным лицом контрольного (надзорного) органа, осуществляющим контрольное (надзорное) мероприятие, решения о применении фотосъемки, аудио- и (или) видеозаписи, иных способов фиксации доказательств в случаях проведения:</w:t>
      </w:r>
    </w:p>
    <w:p>
      <w:pPr>
        <w:pStyle w:val="0"/>
        <w:spacing w:before="200" w:lineRule="auto"/>
        <w:ind w:firstLine="540"/>
        <w:jc w:val="both"/>
      </w:pPr>
      <w:r>
        <w:rPr>
          <w:sz w:val="20"/>
        </w:rPr>
        <w:t xml:space="preserve">рейдового осмотра;</w:t>
      </w:r>
    </w:p>
    <w:p>
      <w:pPr>
        <w:pStyle w:val="0"/>
        <w:spacing w:before="200" w:lineRule="auto"/>
        <w:ind w:firstLine="540"/>
        <w:jc w:val="both"/>
      </w:pPr>
      <w:r>
        <w:rPr>
          <w:sz w:val="20"/>
        </w:rPr>
        <w:t xml:space="preserve">выездной проверки;</w:t>
      </w:r>
    </w:p>
    <w:p>
      <w:pPr>
        <w:pStyle w:val="0"/>
        <w:spacing w:before="200" w:lineRule="auto"/>
        <w:ind w:firstLine="540"/>
        <w:jc w:val="both"/>
      </w:pPr>
      <w:r>
        <w:rPr>
          <w:sz w:val="20"/>
        </w:rPr>
        <w:t xml:space="preserve">постоянного рейда;</w:t>
      </w:r>
    </w:p>
    <w:p>
      <w:pPr>
        <w:pStyle w:val="0"/>
        <w:spacing w:before="200" w:lineRule="auto"/>
        <w:ind w:firstLine="540"/>
        <w:jc w:val="both"/>
      </w:pPr>
      <w:r>
        <w:rPr>
          <w:sz w:val="20"/>
        </w:rPr>
        <w:t xml:space="preserve">инспекционного визита;</w:t>
      </w:r>
    </w:p>
    <w:p>
      <w:pPr>
        <w:pStyle w:val="0"/>
        <w:jc w:val="both"/>
      </w:pPr>
      <w:r>
        <w:rPr>
          <w:sz w:val="20"/>
        </w:rPr>
        <w:t xml:space="preserve">(абзац введен </w:t>
      </w:r>
      <w:hyperlink w:history="0" r:id="rId95"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02.09.2025 N 1354)</w:t>
      </w:r>
    </w:p>
    <w:p>
      <w:pPr>
        <w:pStyle w:val="0"/>
        <w:spacing w:before="200" w:lineRule="auto"/>
        <w:ind w:firstLine="540"/>
        <w:jc w:val="both"/>
      </w:pPr>
      <w:r>
        <w:rPr>
          <w:sz w:val="20"/>
        </w:rPr>
        <w:t xml:space="preserve">б)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в случае осуществления контрольного (надзорного) мероприятия с взаимодействием с контролируемым лицом;</w:t>
      </w:r>
    </w:p>
    <w:p>
      <w:pPr>
        <w:pStyle w:val="0"/>
        <w:spacing w:before="200" w:lineRule="auto"/>
        <w:ind w:firstLine="540"/>
        <w:jc w:val="both"/>
      </w:pPr>
      <w:r>
        <w:rPr>
          <w:sz w:val="20"/>
        </w:rPr>
        <w:t xml:space="preserve">в) внесение в акт контрольного (надзорного) мероприятия соответствующей информации о ведении фотосъемки, аудио- и (или) видеозаписи, иных способов фиксации доказательств;</w:t>
      </w:r>
    </w:p>
    <w:p>
      <w:pPr>
        <w:pStyle w:val="0"/>
        <w:spacing w:before="200" w:lineRule="auto"/>
        <w:ind w:firstLine="540"/>
        <w:jc w:val="both"/>
      </w:pPr>
      <w:r>
        <w:rPr>
          <w:sz w:val="20"/>
        </w:rPr>
        <w:t xml:space="preserve">г) обеспечение сохранности информации, полученной по средствам фотосъемки, аудио- и (или) видеозаписи, иных способов фиксации доказательств.</w:t>
      </w:r>
    </w:p>
    <w:p>
      <w:pPr>
        <w:pStyle w:val="0"/>
        <w:spacing w:before="200" w:lineRule="auto"/>
        <w:ind w:firstLine="540"/>
        <w:jc w:val="both"/>
      </w:pPr>
      <w:r>
        <w:rPr>
          <w:sz w:val="20"/>
        </w:rPr>
        <w:t xml:space="preserve">58(1). Фотосъемка или видеозапись при осуществлении осмотра в рамках инспекционного визита, рейдового осмотра и выездной проверки осуществляется с использованием мобильного приложения "Инспектор".</w:t>
      </w:r>
    </w:p>
    <w:p>
      <w:pPr>
        <w:pStyle w:val="0"/>
        <w:jc w:val="both"/>
      </w:pPr>
      <w:r>
        <w:rPr>
          <w:sz w:val="20"/>
        </w:rPr>
        <w:t xml:space="preserve">(п. 58(1) введен </w:t>
      </w:r>
      <w:hyperlink w:history="0" r:id="rId96"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02.09.2025 N 1354)</w:t>
      </w:r>
    </w:p>
    <w:p>
      <w:pPr>
        <w:pStyle w:val="0"/>
        <w:spacing w:before="200" w:lineRule="auto"/>
        <w:ind w:firstLine="540"/>
        <w:jc w:val="both"/>
      </w:pPr>
      <w:r>
        <w:rPr>
          <w:sz w:val="20"/>
        </w:rPr>
        <w:t xml:space="preserve">59. Хранение материалов фото-, аудио- и видеофиксации осуществляется на бумажном или электронном носителе. Использование материалов в целях, не связанных с проведением федерального контроля, не допускается.</w:t>
      </w:r>
    </w:p>
    <w:p>
      <w:pPr>
        <w:pStyle w:val="0"/>
        <w:spacing w:before="200" w:lineRule="auto"/>
        <w:ind w:firstLine="540"/>
        <w:jc w:val="both"/>
      </w:pPr>
      <w:r>
        <w:rPr>
          <w:sz w:val="20"/>
        </w:rPr>
        <w:t xml:space="preserve">60. Плановые проверки, дата начала которых наступает с 1 июля 2021 г., подлежат проведению в рамках федерального контроля в соответствии с настоящим Положением.</w:t>
      </w:r>
    </w:p>
    <w:p>
      <w:pPr>
        <w:pStyle w:val="0"/>
        <w:spacing w:before="200" w:lineRule="auto"/>
        <w:ind w:firstLine="540"/>
        <w:jc w:val="both"/>
      </w:pPr>
      <w:r>
        <w:rPr>
          <w:sz w:val="20"/>
        </w:rPr>
        <w:t xml:space="preserve">61. В случае временной нетрудоспособности в связи с нахождением на амбулаторном лечении, болезни индивидуальный предприниматель или гражданин, являющийся контролируемым лицом, вправе сообщить в контрольный (надзорный) орган о невозможности присутствия при проведении контрольного (надзорного) мероприятия. При поступлении такого обращения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в контрольный (надзорный) орган.</w:t>
      </w:r>
    </w:p>
    <w:p>
      <w:pPr>
        <w:pStyle w:val="0"/>
        <w:jc w:val="both"/>
      </w:pPr>
      <w:r>
        <w:rPr>
          <w:sz w:val="20"/>
        </w:rPr>
      </w:r>
    </w:p>
    <w:p>
      <w:pPr>
        <w:pStyle w:val="2"/>
        <w:outlineLvl w:val="2"/>
        <w:jc w:val="center"/>
      </w:pPr>
      <w:r>
        <w:rPr>
          <w:sz w:val="20"/>
        </w:rPr>
        <w:t xml:space="preserve">Контрольные (надзорные) мероприятия</w:t>
      </w:r>
    </w:p>
    <w:p>
      <w:pPr>
        <w:pStyle w:val="0"/>
        <w:jc w:val="both"/>
      </w:pPr>
      <w:r>
        <w:rPr>
          <w:sz w:val="20"/>
        </w:rPr>
      </w:r>
    </w:p>
    <w:p>
      <w:pPr>
        <w:pStyle w:val="0"/>
        <w:ind w:firstLine="540"/>
        <w:jc w:val="both"/>
      </w:pPr>
      <w:r>
        <w:rPr>
          <w:sz w:val="20"/>
        </w:rPr>
        <w:t xml:space="preserve">62. Федеральный контроль осуществляется посредством проведения следующих контрольных (надзорных) мероприятий:</w:t>
      </w:r>
    </w:p>
    <w:p>
      <w:pPr>
        <w:pStyle w:val="0"/>
        <w:spacing w:before="200" w:lineRule="auto"/>
        <w:ind w:firstLine="540"/>
        <w:jc w:val="both"/>
      </w:pPr>
      <w:r>
        <w:rPr>
          <w:sz w:val="20"/>
        </w:rPr>
        <w:t xml:space="preserve">а) инспекционный визит;</w:t>
      </w:r>
    </w:p>
    <w:p>
      <w:pPr>
        <w:pStyle w:val="0"/>
        <w:spacing w:before="200" w:lineRule="auto"/>
        <w:ind w:firstLine="540"/>
        <w:jc w:val="both"/>
      </w:pPr>
      <w:r>
        <w:rPr>
          <w:sz w:val="20"/>
        </w:rPr>
        <w:t xml:space="preserve">б) рейдовый осмотр;</w:t>
      </w:r>
    </w:p>
    <w:p>
      <w:pPr>
        <w:pStyle w:val="0"/>
        <w:spacing w:before="200" w:lineRule="auto"/>
        <w:ind w:firstLine="540"/>
        <w:jc w:val="both"/>
      </w:pPr>
      <w:r>
        <w:rPr>
          <w:sz w:val="20"/>
        </w:rPr>
        <w:t xml:space="preserve">в) документарная проверка;</w:t>
      </w:r>
    </w:p>
    <w:p>
      <w:pPr>
        <w:pStyle w:val="0"/>
        <w:spacing w:before="200" w:lineRule="auto"/>
        <w:ind w:firstLine="540"/>
        <w:jc w:val="both"/>
      </w:pPr>
      <w:r>
        <w:rPr>
          <w:sz w:val="20"/>
        </w:rPr>
        <w:t xml:space="preserve">г) выездная проверка;</w:t>
      </w:r>
    </w:p>
    <w:p>
      <w:pPr>
        <w:pStyle w:val="0"/>
        <w:spacing w:before="200" w:lineRule="auto"/>
        <w:ind w:firstLine="540"/>
        <w:jc w:val="both"/>
      </w:pPr>
      <w:r>
        <w:rPr>
          <w:sz w:val="20"/>
        </w:rPr>
        <w:t xml:space="preserve">д) наблюдение за соблюдением обязательных требований;</w:t>
      </w:r>
    </w:p>
    <w:p>
      <w:pPr>
        <w:pStyle w:val="0"/>
        <w:spacing w:before="200" w:lineRule="auto"/>
        <w:ind w:firstLine="540"/>
        <w:jc w:val="both"/>
      </w:pPr>
      <w:r>
        <w:rPr>
          <w:sz w:val="20"/>
        </w:rPr>
        <w:t xml:space="preserve">е) выездное обследование.</w:t>
      </w:r>
    </w:p>
    <w:p>
      <w:pPr>
        <w:pStyle w:val="0"/>
        <w:spacing w:before="200" w:lineRule="auto"/>
        <w:ind w:firstLine="540"/>
        <w:jc w:val="both"/>
      </w:pPr>
      <w:r>
        <w:rPr>
          <w:sz w:val="20"/>
        </w:rPr>
        <w:t xml:space="preserve">63. 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(п. 63 в ред. </w:t>
      </w:r>
      <w:hyperlink w:history="0" r:id="rId97"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jc w:val="both"/>
      </w:pPr>
      <w:r>
        <w:rPr>
          <w:sz w:val="20"/>
        </w:rPr>
      </w:r>
    </w:p>
    <w:p>
      <w:pPr>
        <w:pStyle w:val="2"/>
        <w:outlineLvl w:val="2"/>
        <w:jc w:val="center"/>
      </w:pPr>
      <w:r>
        <w:rPr>
          <w:sz w:val="20"/>
        </w:rPr>
        <w:t xml:space="preserve">Инспекционный визит</w:t>
      </w:r>
    </w:p>
    <w:p>
      <w:pPr>
        <w:pStyle w:val="0"/>
        <w:jc w:val="both"/>
      </w:pPr>
      <w:r>
        <w:rPr>
          <w:sz w:val="20"/>
        </w:rPr>
      </w:r>
    </w:p>
    <w:p>
      <w:pPr>
        <w:pStyle w:val="0"/>
        <w:ind w:firstLine="540"/>
        <w:jc w:val="both"/>
      </w:pPr>
      <w:r>
        <w:rPr>
          <w:sz w:val="20"/>
        </w:rPr>
        <w:t xml:space="preserve">64.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опрос;</w:t>
      </w:r>
    </w:p>
    <w:p>
      <w:pPr>
        <w:pStyle w:val="0"/>
        <w:spacing w:before="200" w:lineRule="auto"/>
        <w:ind w:firstLine="540"/>
        <w:jc w:val="both"/>
      </w:pPr>
      <w:r>
        <w:rPr>
          <w:sz w:val="20"/>
        </w:rPr>
        <w:t xml:space="preserve">в) получение письменных объяснений;</w:t>
      </w:r>
    </w:p>
    <w:p>
      <w:pPr>
        <w:pStyle w:val="0"/>
        <w:spacing w:before="200" w:lineRule="auto"/>
        <w:ind w:firstLine="540"/>
        <w:jc w:val="both"/>
      </w:pPr>
      <w:r>
        <w:rPr>
          <w:sz w:val="20"/>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65. Инспекционный визит проводится при наличии оснований, указанных в </w:t>
      </w:r>
      <w:hyperlink w:history="0" r:id="rId9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пунктах 1</w:t>
        </w:r>
      </w:hyperlink>
      <w:r>
        <w:rPr>
          <w:sz w:val="20"/>
        </w:rPr>
        <w:t xml:space="preserve"> - </w:t>
      </w:r>
      <w:hyperlink w:history="0" r:id="rId9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w:t>
        </w:r>
      </w:hyperlink>
      <w:r>
        <w:rPr>
          <w:sz w:val="20"/>
        </w:rPr>
        <w:t xml:space="preserve">, </w:t>
      </w:r>
      <w:hyperlink w:history="0" r:id="rId1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7</w:t>
        </w:r>
      </w:hyperlink>
      <w:r>
        <w:rPr>
          <w:sz w:val="20"/>
        </w:rPr>
        <w:t xml:space="preserve"> и </w:t>
      </w:r>
      <w:hyperlink w:history="0" r:id="rId10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9 части 1 статьи 57</w:t>
        </w:r>
      </w:hyperlink>
      <w:r>
        <w:rPr>
          <w:sz w:val="20"/>
        </w:rPr>
        <w:t xml:space="preserve"> Федерального закона.</w:t>
      </w:r>
    </w:p>
    <w:p>
      <w:pPr>
        <w:pStyle w:val="0"/>
        <w:spacing w:before="200" w:lineRule="auto"/>
        <w:ind w:firstLine="540"/>
        <w:jc w:val="both"/>
      </w:pPr>
      <w:r>
        <w:rPr>
          <w:sz w:val="20"/>
        </w:rPr>
        <w:t xml:space="preserve">При проведении инспекционного визита 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(п. 65 в ред. </w:t>
      </w:r>
      <w:hyperlink w:history="0" r:id="rId102"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jc w:val="both"/>
      </w:pPr>
      <w:r>
        <w:rPr>
          <w:sz w:val="20"/>
        </w:rPr>
      </w:r>
    </w:p>
    <w:p>
      <w:pPr>
        <w:pStyle w:val="2"/>
        <w:outlineLvl w:val="2"/>
        <w:jc w:val="center"/>
      </w:pPr>
      <w:r>
        <w:rPr>
          <w:sz w:val="20"/>
        </w:rPr>
        <w:t xml:space="preserve">Рейдовый осмотр</w:t>
      </w:r>
    </w:p>
    <w:p>
      <w:pPr>
        <w:pStyle w:val="0"/>
        <w:jc w:val="both"/>
      </w:pPr>
      <w:r>
        <w:rPr>
          <w:sz w:val="20"/>
        </w:rPr>
      </w:r>
    </w:p>
    <w:p>
      <w:pPr>
        <w:pStyle w:val="0"/>
        <w:ind w:firstLine="540"/>
        <w:jc w:val="both"/>
      </w:pPr>
      <w:r>
        <w:rPr>
          <w:sz w:val="20"/>
        </w:rPr>
        <w:t xml:space="preserve">66.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опрос;</w:t>
      </w:r>
    </w:p>
    <w:p>
      <w:pPr>
        <w:pStyle w:val="0"/>
        <w:spacing w:before="200" w:lineRule="auto"/>
        <w:ind w:firstLine="540"/>
        <w:jc w:val="both"/>
      </w:pPr>
      <w:r>
        <w:rPr>
          <w:sz w:val="20"/>
        </w:rPr>
        <w:t xml:space="preserve">в) получение письменных объяснений;</w:t>
      </w:r>
    </w:p>
    <w:p>
      <w:pPr>
        <w:pStyle w:val="0"/>
        <w:spacing w:before="200" w:lineRule="auto"/>
        <w:ind w:firstLine="540"/>
        <w:jc w:val="both"/>
      </w:pPr>
      <w:r>
        <w:rPr>
          <w:sz w:val="20"/>
        </w:rPr>
        <w:t xml:space="preserve">г) истребование документов.</w:t>
      </w:r>
    </w:p>
    <w:p>
      <w:pPr>
        <w:pStyle w:val="0"/>
        <w:spacing w:before="200" w:lineRule="auto"/>
        <w:ind w:firstLine="540"/>
        <w:jc w:val="both"/>
      </w:pPr>
      <w:r>
        <w:rPr>
          <w:sz w:val="20"/>
        </w:rPr>
        <w:t xml:space="preserve">67. Рейдовый осмотр проводится при наличии оснований, указанных в </w:t>
      </w:r>
      <w:hyperlink w:history="0" r:id="rId10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пунктах 1</w:t>
        </w:r>
      </w:hyperlink>
      <w:r>
        <w:rPr>
          <w:sz w:val="20"/>
        </w:rPr>
        <w:t xml:space="preserve"> - </w:t>
      </w:r>
      <w:hyperlink w:history="0" r:id="rId10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w:t>
        </w:r>
      </w:hyperlink>
      <w:r>
        <w:rPr>
          <w:sz w:val="20"/>
        </w:rPr>
        <w:t xml:space="preserve">, </w:t>
      </w:r>
      <w:hyperlink w:history="0" r:id="rId10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7</w:t>
        </w:r>
      </w:hyperlink>
      <w:r>
        <w:rPr>
          <w:sz w:val="20"/>
        </w:rPr>
        <w:t xml:space="preserve"> и </w:t>
      </w:r>
      <w:hyperlink w:history="0" r:id="rId10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9 части 1 статьи 57</w:t>
        </w:r>
      </w:hyperlink>
      <w:r>
        <w:rPr>
          <w:sz w:val="20"/>
        </w:rPr>
        <w:t xml:space="preserve"> Федерального закона.</w:t>
      </w:r>
    </w:p>
    <w:p>
      <w:pPr>
        <w:pStyle w:val="0"/>
        <w:spacing w:before="200" w:lineRule="auto"/>
        <w:ind w:firstLine="540"/>
        <w:jc w:val="both"/>
      </w:pPr>
      <w:r>
        <w:rPr>
          <w:sz w:val="20"/>
        </w:rPr>
        <w:t xml:space="preserve">При проведении рейдового осмотра 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(п. 67 в ред. </w:t>
      </w:r>
      <w:hyperlink w:history="0" r:id="rId107"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jc w:val="both"/>
      </w:pPr>
      <w:r>
        <w:rPr>
          <w:sz w:val="20"/>
        </w:rPr>
      </w:r>
    </w:p>
    <w:p>
      <w:pPr>
        <w:pStyle w:val="2"/>
        <w:outlineLvl w:val="2"/>
        <w:jc w:val="center"/>
      </w:pPr>
      <w:r>
        <w:rPr>
          <w:sz w:val="20"/>
        </w:rPr>
        <w:t xml:space="preserve">Документарная проверка</w:t>
      </w:r>
    </w:p>
    <w:p>
      <w:pPr>
        <w:pStyle w:val="0"/>
        <w:jc w:val="both"/>
      </w:pPr>
      <w:r>
        <w:rPr>
          <w:sz w:val="20"/>
        </w:rPr>
      </w:r>
    </w:p>
    <w:p>
      <w:pPr>
        <w:pStyle w:val="0"/>
        <w:ind w:firstLine="540"/>
        <w:jc w:val="both"/>
      </w:pPr>
      <w:r>
        <w:rPr>
          <w:sz w:val="20"/>
        </w:rPr>
        <w:t xml:space="preserve">68. Документарная проверка проводится по месту нахождения контрольного (надзорного) органа.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69.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федерального контроля.</w:t>
      </w:r>
    </w:p>
    <w:p>
      <w:pPr>
        <w:pStyle w:val="0"/>
        <w:spacing w:before="200" w:lineRule="auto"/>
        <w:ind w:firstLine="540"/>
        <w:jc w:val="both"/>
      </w:pPr>
      <w:r>
        <w:rPr>
          <w:sz w:val="20"/>
        </w:rPr>
        <w:t xml:space="preserve">70.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а) получение письменных объяснений;</w:t>
      </w:r>
    </w:p>
    <w:p>
      <w:pPr>
        <w:pStyle w:val="0"/>
        <w:spacing w:before="200" w:lineRule="auto"/>
        <w:ind w:firstLine="540"/>
        <w:jc w:val="both"/>
      </w:pPr>
      <w:r>
        <w:rPr>
          <w:sz w:val="20"/>
        </w:rPr>
        <w:t xml:space="preserve">б) истребование документов.</w:t>
      </w:r>
    </w:p>
    <w:p>
      <w:pPr>
        <w:pStyle w:val="0"/>
        <w:spacing w:before="200" w:lineRule="auto"/>
        <w:ind w:firstLine="540"/>
        <w:jc w:val="both"/>
      </w:pPr>
      <w:r>
        <w:rPr>
          <w:sz w:val="20"/>
        </w:rPr>
        <w:t xml:space="preserve">71. 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о представлении необходимых для рассмотрения в ходе документарной проверки документов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федерального контроля, и требования о представлении необходимых письменных объяснений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(п. 71 в ред. </w:t>
      </w:r>
      <w:hyperlink w:history="0" r:id="rId108"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72. Документарная проверка проводится при наличии оснований, указанных в </w:t>
      </w:r>
      <w:hyperlink w:history="0" r:id="rId10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пунктах 1</w:t>
        </w:r>
      </w:hyperlink>
      <w:r>
        <w:rPr>
          <w:sz w:val="20"/>
        </w:rPr>
        <w:t xml:space="preserve"> - </w:t>
      </w:r>
      <w:hyperlink w:history="0" r:id="rId1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w:t>
        </w:r>
      </w:hyperlink>
      <w:r>
        <w:rPr>
          <w:sz w:val="20"/>
        </w:rPr>
        <w:t xml:space="preserve">, </w:t>
      </w:r>
      <w:hyperlink w:history="0" r:id="rId1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7</w:t>
        </w:r>
      </w:hyperlink>
      <w:r>
        <w:rPr>
          <w:sz w:val="20"/>
        </w:rPr>
        <w:t xml:space="preserve"> и </w:t>
      </w:r>
      <w:hyperlink w:history="0" r:id="rId1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9 части 1 статьи 57</w:t>
        </w:r>
      </w:hyperlink>
      <w:r>
        <w:rPr>
          <w:sz w:val="20"/>
        </w:rPr>
        <w:t xml:space="preserve"> Федерального закона.</w:t>
      </w:r>
    </w:p>
    <w:p>
      <w:pPr>
        <w:pStyle w:val="0"/>
        <w:jc w:val="both"/>
      </w:pPr>
      <w:r>
        <w:rPr>
          <w:sz w:val="20"/>
        </w:rPr>
        <w:t xml:space="preserve">(п. 72 в ред. </w:t>
      </w:r>
      <w:hyperlink w:history="0" r:id="rId113"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jc w:val="both"/>
      </w:pPr>
      <w:r>
        <w:rPr>
          <w:sz w:val="20"/>
        </w:rPr>
      </w:r>
    </w:p>
    <w:p>
      <w:pPr>
        <w:pStyle w:val="2"/>
        <w:outlineLvl w:val="2"/>
        <w:jc w:val="center"/>
      </w:pPr>
      <w:r>
        <w:rPr>
          <w:sz w:val="20"/>
        </w:rPr>
        <w:t xml:space="preserve">Выездная проверка</w:t>
      </w:r>
    </w:p>
    <w:p>
      <w:pPr>
        <w:pStyle w:val="0"/>
        <w:jc w:val="both"/>
      </w:pPr>
      <w:r>
        <w:rPr>
          <w:sz w:val="20"/>
        </w:rPr>
      </w:r>
    </w:p>
    <w:p>
      <w:pPr>
        <w:pStyle w:val="0"/>
        <w:ind w:firstLine="540"/>
        <w:jc w:val="both"/>
      </w:pPr>
      <w:r>
        <w:rPr>
          <w:sz w:val="20"/>
        </w:rPr>
        <w:t xml:space="preserve">73. Выездная проверка проводится при наличии оснований, указанных в </w:t>
      </w:r>
      <w:hyperlink w:history="0" r:id="rId1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пунктах 1</w:t>
        </w:r>
      </w:hyperlink>
      <w:r>
        <w:rPr>
          <w:sz w:val="20"/>
        </w:rPr>
        <w:t xml:space="preserve"> - </w:t>
      </w:r>
      <w:hyperlink w:history="0" r:id="rId1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w:t>
        </w:r>
      </w:hyperlink>
      <w:r>
        <w:rPr>
          <w:sz w:val="20"/>
        </w:rPr>
        <w:t xml:space="preserve">, </w:t>
      </w:r>
      <w:hyperlink w:history="0" r:id="rId1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7</w:t>
        </w:r>
      </w:hyperlink>
      <w:r>
        <w:rPr>
          <w:sz w:val="20"/>
        </w:rPr>
        <w:t xml:space="preserve"> и </w:t>
      </w:r>
      <w:hyperlink w:history="0" r:id="rId1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9 части 1 статьи 57</w:t>
        </w:r>
      </w:hyperlink>
      <w:r>
        <w:rPr>
          <w:sz w:val="20"/>
        </w:rPr>
        <w:t xml:space="preserve"> Федерального закона.</w:t>
      </w:r>
    </w:p>
    <w:p>
      <w:pPr>
        <w:pStyle w:val="0"/>
        <w:spacing w:before="200" w:lineRule="auto"/>
        <w:ind w:firstLine="540"/>
        <w:jc w:val="both"/>
      </w:pPr>
      <w:r>
        <w:rPr>
          <w:sz w:val="20"/>
        </w:rPr>
        <w:t xml:space="preserve">При проведении выездной проверки 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(п. 73 в ред. </w:t>
      </w:r>
      <w:hyperlink w:history="0" r:id="rId118"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74.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опрос;</w:t>
      </w:r>
    </w:p>
    <w:p>
      <w:pPr>
        <w:pStyle w:val="0"/>
        <w:spacing w:before="200" w:lineRule="auto"/>
        <w:ind w:firstLine="540"/>
        <w:jc w:val="both"/>
      </w:pPr>
      <w:r>
        <w:rPr>
          <w:sz w:val="20"/>
        </w:rPr>
        <w:t xml:space="preserve">в) получение письменных объяснений;</w:t>
      </w:r>
    </w:p>
    <w:p>
      <w:pPr>
        <w:pStyle w:val="0"/>
        <w:spacing w:before="200" w:lineRule="auto"/>
        <w:ind w:firstLine="540"/>
        <w:jc w:val="both"/>
      </w:pPr>
      <w:r>
        <w:rPr>
          <w:sz w:val="20"/>
        </w:rPr>
        <w:t xml:space="preserve">г) истребование документов.</w:t>
      </w:r>
    </w:p>
    <w:p>
      <w:pPr>
        <w:pStyle w:val="0"/>
        <w:spacing w:before="200" w:lineRule="auto"/>
        <w:ind w:firstLine="540"/>
        <w:jc w:val="both"/>
      </w:pPr>
      <w:r>
        <w:rPr>
          <w:sz w:val="20"/>
        </w:rPr>
        <w:t xml:space="preserve">75. 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00" w:lineRule="auto"/>
        <w:ind w:firstLine="540"/>
        <w:jc w:val="both"/>
      </w:pPr>
      <w:r>
        <w:rPr>
          <w:sz w:val="20"/>
        </w:rPr>
        <w:t xml:space="preserve">76.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0"/>
        <w:jc w:val="both"/>
      </w:pPr>
      <w:r>
        <w:rPr>
          <w:sz w:val="20"/>
        </w:rPr>
      </w:r>
    </w:p>
    <w:p>
      <w:pPr>
        <w:pStyle w:val="2"/>
        <w:outlineLvl w:val="2"/>
        <w:jc w:val="center"/>
      </w:pPr>
      <w:r>
        <w:rPr>
          <w:sz w:val="20"/>
        </w:rPr>
        <w:t xml:space="preserve">Наблюдение за соблюдением обязательных требований</w:t>
      </w:r>
    </w:p>
    <w:p>
      <w:pPr>
        <w:pStyle w:val="0"/>
        <w:jc w:val="both"/>
      </w:pPr>
      <w:r>
        <w:rPr>
          <w:sz w:val="20"/>
        </w:rPr>
      </w:r>
    </w:p>
    <w:p>
      <w:pPr>
        <w:pStyle w:val="0"/>
        <w:ind w:firstLine="540"/>
        <w:jc w:val="both"/>
      </w:pPr>
      <w:r>
        <w:rPr>
          <w:sz w:val="20"/>
        </w:rPr>
        <w:t xml:space="preserve">77. В ходе наблюдения за соблюдением обязательных требований (мониторингом безопасности) осуществляются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и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и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spacing w:before="200" w:lineRule="auto"/>
        <w:ind w:firstLine="540"/>
        <w:jc w:val="both"/>
      </w:pPr>
      <w:r>
        <w:rPr>
          <w:sz w:val="20"/>
        </w:rPr>
        <w:t xml:space="preserve">78. Наблюдение за соблюдением обязательных требований осуществляется без взаимодействия с контролируемым лицом.</w:t>
      </w:r>
    </w:p>
    <w:p>
      <w:pPr>
        <w:pStyle w:val="0"/>
        <w:spacing w:before="200" w:lineRule="auto"/>
        <w:ind w:firstLine="540"/>
        <w:jc w:val="both"/>
      </w:pPr>
      <w:r>
        <w:rPr>
          <w:sz w:val="20"/>
        </w:rPr>
        <w:t xml:space="preserve">79.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а) о проведении внепланового контрольного (надзорного) мероприятия в соответствии со </w:t>
      </w:r>
      <w:hyperlink w:history="0" r:id="rId1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60</w:t>
        </w:r>
      </w:hyperlink>
      <w:r>
        <w:rPr>
          <w:sz w:val="20"/>
        </w:rPr>
        <w:t xml:space="preserve"> Федерального закона;</w:t>
      </w:r>
    </w:p>
    <w:p>
      <w:pPr>
        <w:pStyle w:val="0"/>
        <w:spacing w:before="200" w:lineRule="auto"/>
        <w:ind w:firstLine="540"/>
        <w:jc w:val="both"/>
      </w:pPr>
      <w:r>
        <w:rPr>
          <w:sz w:val="20"/>
        </w:rPr>
        <w:t xml:space="preserve">б) об объявлении предостережения.</w:t>
      </w:r>
    </w:p>
    <w:p>
      <w:pPr>
        <w:pStyle w:val="0"/>
        <w:jc w:val="both"/>
      </w:pPr>
      <w:r>
        <w:rPr>
          <w:sz w:val="20"/>
        </w:rPr>
      </w:r>
    </w:p>
    <w:p>
      <w:pPr>
        <w:pStyle w:val="2"/>
        <w:outlineLvl w:val="2"/>
        <w:jc w:val="center"/>
      </w:pPr>
      <w:r>
        <w:rPr>
          <w:sz w:val="20"/>
        </w:rPr>
        <w:t xml:space="preserve">Выездное обследование</w:t>
      </w:r>
    </w:p>
    <w:p>
      <w:pPr>
        <w:pStyle w:val="0"/>
        <w:jc w:val="both"/>
      </w:pPr>
      <w:r>
        <w:rPr>
          <w:sz w:val="20"/>
        </w:rPr>
      </w:r>
    </w:p>
    <w:p>
      <w:pPr>
        <w:pStyle w:val="0"/>
        <w:ind w:firstLine="540"/>
        <w:jc w:val="both"/>
      </w:pPr>
      <w:r>
        <w:rPr>
          <w:sz w:val="20"/>
        </w:rPr>
        <w:t xml:space="preserve">80. В ходе выездного обследования проводится оценка соблюдения контролируемым лицом обязательных требований. Взаимодействие с контролируемым лицом не допускается.</w:t>
      </w:r>
    </w:p>
    <w:p>
      <w:pPr>
        <w:pStyle w:val="0"/>
        <w:spacing w:before="200" w:lineRule="auto"/>
        <w:ind w:firstLine="540"/>
        <w:jc w:val="both"/>
      </w:pPr>
      <w:r>
        <w:rPr>
          <w:sz w:val="20"/>
        </w:rPr>
        <w:t xml:space="preserve">81. Выездное обследование проводится по месту нахождения (осуществления деятельности) контролируемых лиц (их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pPr>
        <w:pStyle w:val="0"/>
        <w:spacing w:before="200" w:lineRule="auto"/>
        <w:ind w:firstLine="540"/>
        <w:jc w:val="both"/>
      </w:pPr>
      <w:r>
        <w:rPr>
          <w:sz w:val="20"/>
        </w:rPr>
        <w:t xml:space="preserve">82. В ходе выездного обследования проводятся следующие контрольные (надзорные) мероприятия: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испытание.</w:t>
      </w:r>
    </w:p>
    <w:p>
      <w:pPr>
        <w:pStyle w:val="0"/>
        <w:spacing w:before="200" w:lineRule="auto"/>
        <w:ind w:firstLine="540"/>
        <w:jc w:val="both"/>
      </w:pPr>
      <w:r>
        <w:rPr>
          <w:sz w:val="20"/>
        </w:rPr>
        <w:t xml:space="preserve">83.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84. Утратил силу. - </w:t>
      </w:r>
      <w:hyperlink w:history="0" r:id="rId120"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02.09.2025 N 1354.</w:t>
      </w:r>
    </w:p>
    <w:p>
      <w:pPr>
        <w:pStyle w:val="0"/>
        <w:spacing w:before="200" w:lineRule="auto"/>
        <w:ind w:firstLine="540"/>
        <w:jc w:val="both"/>
      </w:pPr>
      <w:r>
        <w:rPr>
          <w:sz w:val="20"/>
        </w:rPr>
        <w:t xml:space="preserve">85. По результатам проведения выездного обследования не может быть принято решение, предусмотренное </w:t>
      </w:r>
      <w:hyperlink w:history="0" r:id="rId1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пунктом 2 части 2 статьи 90</w:t>
        </w:r>
      </w:hyperlink>
      <w:r>
        <w:rPr>
          <w:sz w:val="20"/>
        </w:rPr>
        <w:t xml:space="preserve"> Федерального закона.</w:t>
      </w:r>
    </w:p>
    <w:p>
      <w:pPr>
        <w:pStyle w:val="0"/>
        <w:jc w:val="both"/>
      </w:pPr>
      <w:r>
        <w:rPr>
          <w:sz w:val="20"/>
        </w:rPr>
        <w:t xml:space="preserve">(п. 85 в ред. </w:t>
      </w:r>
      <w:hyperlink w:history="0" r:id="rId122"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jc w:val="both"/>
      </w:pPr>
      <w:r>
        <w:rPr>
          <w:sz w:val="20"/>
        </w:rPr>
      </w:r>
    </w:p>
    <w:p>
      <w:pPr>
        <w:pStyle w:val="2"/>
        <w:outlineLvl w:val="1"/>
        <w:jc w:val="center"/>
      </w:pPr>
      <w:r>
        <w:rPr>
          <w:sz w:val="20"/>
        </w:rPr>
        <w:t xml:space="preserve">V. Специальные режимы государственного контроля (надзора)</w:t>
      </w:r>
    </w:p>
    <w:p>
      <w:pPr>
        <w:pStyle w:val="0"/>
        <w:jc w:val="both"/>
      </w:pPr>
      <w:r>
        <w:rPr>
          <w:sz w:val="20"/>
        </w:rPr>
      </w:r>
    </w:p>
    <w:p>
      <w:pPr>
        <w:pStyle w:val="2"/>
        <w:outlineLvl w:val="2"/>
        <w:jc w:val="center"/>
      </w:pPr>
      <w:r>
        <w:rPr>
          <w:sz w:val="20"/>
        </w:rPr>
        <w:t xml:space="preserve">Мониторинг</w:t>
      </w:r>
    </w:p>
    <w:p>
      <w:pPr>
        <w:pStyle w:val="0"/>
        <w:jc w:val="both"/>
      </w:pPr>
      <w:r>
        <w:rPr>
          <w:sz w:val="20"/>
        </w:rPr>
      </w:r>
    </w:p>
    <w:p>
      <w:pPr>
        <w:pStyle w:val="0"/>
        <w:ind w:firstLine="540"/>
        <w:jc w:val="both"/>
      </w:pPr>
      <w:r>
        <w:rPr>
          <w:sz w:val="20"/>
        </w:rPr>
        <w:t xml:space="preserve">86. Мониторинг заключается в целенаправленном, постоянном (систематическом, регулярном, непрерывном), опосредованном получении и анализе контрольным (надзорным) органом информации о деятельности контролируемых лиц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87. Мониторинг основан на добровольном участии контролируемых лиц и осуществляется в случае обращения контролируемого лица в контрольный (надзорный) орган с заявлением о проведении мониторинга в отношении деятельности этого лица.</w:t>
      </w:r>
    </w:p>
    <w:p>
      <w:pPr>
        <w:pStyle w:val="0"/>
        <w:spacing w:before="200" w:lineRule="auto"/>
        <w:ind w:firstLine="540"/>
        <w:jc w:val="both"/>
      </w:pPr>
      <w:r>
        <w:rPr>
          <w:sz w:val="20"/>
        </w:rPr>
        <w:t xml:space="preserve">88. Мониторинг осуществляется на основании приказа (распоряжения) руководителя контрольного (надзорного) органа (руководителя территориального органа контрольного (надзорного) органа) в порядке, определенном соглашением между контролируемым лицом и контрольным (надзорным) органом.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предпочтения отдельным контролируемым лицам.</w:t>
      </w:r>
    </w:p>
    <w:p>
      <w:pPr>
        <w:pStyle w:val="0"/>
        <w:spacing w:before="200" w:lineRule="auto"/>
        <w:ind w:firstLine="540"/>
        <w:jc w:val="both"/>
      </w:pPr>
      <w:r>
        <w:rPr>
          <w:sz w:val="20"/>
        </w:rPr>
        <w:t xml:space="preserve">89. Техническое оснащение контролируемого лица для участия в мониторинге производится контролируемым лицом самостоятельно.</w:t>
      </w:r>
    </w:p>
    <w:p>
      <w:pPr>
        <w:pStyle w:val="0"/>
        <w:spacing w:before="200" w:lineRule="auto"/>
        <w:ind w:firstLine="540"/>
        <w:jc w:val="both"/>
      </w:pPr>
      <w:r>
        <w:rPr>
          <w:sz w:val="20"/>
        </w:rPr>
        <w:t xml:space="preserve">90. Требования, которым должно соответствовать контролируемое лицо для осуществления мониторинга:</w:t>
      </w:r>
    </w:p>
    <w:p>
      <w:pPr>
        <w:pStyle w:val="0"/>
        <w:spacing w:before="200" w:lineRule="auto"/>
        <w:ind w:firstLine="540"/>
        <w:jc w:val="both"/>
      </w:pPr>
      <w:r>
        <w:rPr>
          <w:sz w:val="20"/>
        </w:rPr>
        <w:t xml:space="preserve">а) осуществление деятельности в области торгового мореплавания, либо судоходства на внутренних водных путях, либо эксплуатации гидротехнических сооружений;</w:t>
      </w:r>
    </w:p>
    <w:p>
      <w:pPr>
        <w:pStyle w:val="0"/>
        <w:spacing w:before="200" w:lineRule="auto"/>
        <w:ind w:firstLine="540"/>
        <w:jc w:val="both"/>
      </w:pPr>
      <w:r>
        <w:rPr>
          <w:sz w:val="20"/>
        </w:rPr>
        <w:t xml:space="preserve">б) успешное прохождение на Едином портале государственных и муниципальных услуг (функций) самообследования;</w:t>
      </w:r>
    </w:p>
    <w:p>
      <w:pPr>
        <w:pStyle w:val="0"/>
        <w:spacing w:before="200" w:lineRule="auto"/>
        <w:ind w:firstLine="540"/>
        <w:jc w:val="both"/>
      </w:pPr>
      <w:r>
        <w:rPr>
          <w:sz w:val="20"/>
        </w:rPr>
        <w:t xml:space="preserve">в) представление в контрольный (надзорный) орган принятой декларации соблюдения обязательных требований.</w:t>
      </w:r>
    </w:p>
    <w:p>
      <w:pPr>
        <w:pStyle w:val="0"/>
        <w:spacing w:before="200" w:lineRule="auto"/>
        <w:ind w:firstLine="540"/>
        <w:jc w:val="both"/>
      </w:pPr>
      <w:r>
        <w:rPr>
          <w:sz w:val="20"/>
        </w:rPr>
        <w:t xml:space="preserve">91. Для рассмотрения возможности участия в мониторинге контролируемое лицо в письменной форме или в форме электронного документа через личный кабинет на Едином портале государственных и муниципальных услуг (функций) направляет в территориальный орган контрольного (надзорного) органа заявление, форма которого утверждается руководителем контрольного (надзорного) органа, в котором подтверждает (декларирует) успешное прохождение самообследования на Едином портале государственных и муниципальных услуг (функций).</w:t>
      </w:r>
    </w:p>
    <w:p>
      <w:pPr>
        <w:pStyle w:val="0"/>
        <w:spacing w:before="200" w:lineRule="auto"/>
        <w:ind w:firstLine="540"/>
        <w:jc w:val="both"/>
      </w:pPr>
      <w:r>
        <w:rPr>
          <w:sz w:val="20"/>
        </w:rPr>
        <w:t xml:space="preserve">92. Контрольный (надзорный) орган обеспечивает рассмотрение заявления в целях оценки соответствия контролируемого лица требованиям для участия в мониторинге и технической готовности к информационному взаимодействию в рамках мониторинга.</w:t>
      </w:r>
    </w:p>
    <w:p>
      <w:pPr>
        <w:pStyle w:val="0"/>
        <w:spacing w:before="200" w:lineRule="auto"/>
        <w:ind w:firstLine="540"/>
        <w:jc w:val="both"/>
      </w:pPr>
      <w:r>
        <w:rPr>
          <w:sz w:val="20"/>
        </w:rPr>
        <w:t xml:space="preserve">93. По результатам рассмотрения заявления контрольный (надзорный) орган принимает решение о возможности применения мониторинга и в течение 14 календарных дней уведомляет заявителя о возможности его включения в мониторинг и заключения соглашения между контролируемым лицом и руководителем контрольного (надзорного) органа.</w:t>
      </w:r>
    </w:p>
    <w:p>
      <w:pPr>
        <w:pStyle w:val="0"/>
        <w:spacing w:before="200" w:lineRule="auto"/>
        <w:ind w:firstLine="540"/>
        <w:jc w:val="both"/>
      </w:pPr>
      <w:r>
        <w:rPr>
          <w:sz w:val="20"/>
        </w:rPr>
        <w:t xml:space="preserve">94.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иные условия определяются в соглашении между контролируемым лицом и руководителем контрольного (надзорного) органа.</w:t>
      </w:r>
    </w:p>
    <w:p>
      <w:pPr>
        <w:pStyle w:val="0"/>
        <w:spacing w:before="200" w:lineRule="auto"/>
        <w:ind w:firstLine="540"/>
        <w:jc w:val="both"/>
      </w:pPr>
      <w:r>
        <w:rPr>
          <w:sz w:val="20"/>
        </w:rPr>
        <w:t xml:space="preserve">95. Решение о прекращении осуществления мониторинга принимается руководителем контрольного (надзорного) органа (руководителем территориального органа контрольного (надзорного) органа) в случаях, предусмотренных </w:t>
      </w:r>
      <w:hyperlink w:history="0" r:id="rId1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пунктами 1</w:t>
        </w:r>
      </w:hyperlink>
      <w:r>
        <w:rPr>
          <w:sz w:val="20"/>
        </w:rPr>
        <w:t xml:space="preserve"> - </w:t>
      </w:r>
      <w:hyperlink w:history="0" r:id="rId1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 части 10 статьи 96</w:t>
        </w:r>
      </w:hyperlink>
      <w:r>
        <w:rPr>
          <w:sz w:val="20"/>
        </w:rPr>
        <w:t xml:space="preserve"> Федерального закона.</w:t>
      </w:r>
    </w:p>
    <w:p>
      <w:pPr>
        <w:pStyle w:val="0"/>
        <w:jc w:val="both"/>
      </w:pPr>
      <w:r>
        <w:rPr>
          <w:sz w:val="20"/>
        </w:rPr>
      </w:r>
    </w:p>
    <w:p>
      <w:pPr>
        <w:pStyle w:val="2"/>
        <w:outlineLvl w:val="2"/>
        <w:jc w:val="center"/>
      </w:pPr>
      <w:r>
        <w:rPr>
          <w:sz w:val="20"/>
        </w:rPr>
        <w:t xml:space="preserve">Постоянный рейд</w:t>
      </w:r>
    </w:p>
    <w:p>
      <w:pPr>
        <w:pStyle w:val="0"/>
        <w:jc w:val="both"/>
      </w:pPr>
      <w:r>
        <w:rPr>
          <w:sz w:val="20"/>
        </w:rPr>
      </w:r>
    </w:p>
    <w:p>
      <w:pPr>
        <w:pStyle w:val="0"/>
        <w:ind w:firstLine="540"/>
        <w:jc w:val="both"/>
      </w:pPr>
      <w:r>
        <w:rPr>
          <w:sz w:val="20"/>
        </w:rPr>
        <w:t xml:space="preserve">96. Постоянный рейд заключается в возможности постоянного нахождения инспекторов контрольного (надзорного) органа в пунктах контроля и (или) на территории (акватории) и (или) их перемещение по определенной территории (акватории) в целях выявления, предупреждения и пресечения нарушений обязательных требований.</w:t>
      </w:r>
    </w:p>
    <w:p>
      <w:pPr>
        <w:pStyle w:val="0"/>
        <w:spacing w:before="200" w:lineRule="auto"/>
        <w:ind w:firstLine="540"/>
        <w:jc w:val="both"/>
      </w:pPr>
      <w:r>
        <w:rPr>
          <w:sz w:val="20"/>
        </w:rPr>
        <w:t xml:space="preserve">97. Требованиями к установлению пунктов контроля, территорий (акваторий) для постоянного рейда являются наличие в пунктах контроля, на территориях (акваториях) повышенных рисков причинения вреда (ущерба) охраняемым законом ценностям вследствие нарушения обязательных требований при осуществлении судоходства, в том числе:</w:t>
      </w:r>
    </w:p>
    <w:p>
      <w:pPr>
        <w:pStyle w:val="0"/>
        <w:spacing w:before="200" w:lineRule="auto"/>
        <w:ind w:firstLine="540"/>
        <w:jc w:val="both"/>
      </w:pPr>
      <w:r>
        <w:rPr>
          <w:sz w:val="20"/>
        </w:rPr>
        <w:t xml:space="preserve">а) на участках внутренних водных путей, по которым в сутки проходит в обоих направлениях 10 и более судов;</w:t>
      </w:r>
    </w:p>
    <w:p>
      <w:pPr>
        <w:pStyle w:val="0"/>
        <w:spacing w:before="200" w:lineRule="auto"/>
        <w:ind w:firstLine="540"/>
        <w:jc w:val="both"/>
      </w:pPr>
      <w:r>
        <w:rPr>
          <w:sz w:val="20"/>
        </w:rPr>
        <w:t xml:space="preserve">б) в местах осуществления погрузочно-разгрузочных операций с опасными грузами;</w:t>
      </w:r>
    </w:p>
    <w:p>
      <w:pPr>
        <w:pStyle w:val="0"/>
        <w:spacing w:before="200" w:lineRule="auto"/>
        <w:ind w:firstLine="540"/>
        <w:jc w:val="both"/>
      </w:pPr>
      <w:r>
        <w:rPr>
          <w:sz w:val="20"/>
        </w:rPr>
        <w:t xml:space="preserve">в) в местах посадки-высадки пассажиров.</w:t>
      </w:r>
    </w:p>
    <w:p>
      <w:pPr>
        <w:pStyle w:val="0"/>
        <w:spacing w:before="200" w:lineRule="auto"/>
        <w:ind w:firstLine="540"/>
        <w:jc w:val="both"/>
      </w:pPr>
      <w:r>
        <w:rPr>
          <w:sz w:val="20"/>
        </w:rPr>
        <w:t xml:space="preserve">98. Постоянный рейд осуществляется на:</w:t>
      </w:r>
    </w:p>
    <w:p>
      <w:pPr>
        <w:pStyle w:val="0"/>
        <w:spacing w:before="200" w:lineRule="auto"/>
        <w:ind w:firstLine="540"/>
        <w:jc w:val="both"/>
      </w:pPr>
      <w:r>
        <w:rPr>
          <w:sz w:val="20"/>
        </w:rPr>
        <w:t xml:space="preserve">а) внутренних водных путях, включенных в перечень внутренних водных путей в соответствии со </w:t>
      </w:r>
      <w:hyperlink w:history="0" r:id="rId125"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статьей 7</w:t>
        </w:r>
      </w:hyperlink>
      <w:r>
        <w:rPr>
          <w:sz w:val="20"/>
        </w:rPr>
        <w:t xml:space="preserve"> Кодекса внутреннего водного транспорта Российской Федерации;</w:t>
      </w:r>
    </w:p>
    <w:p>
      <w:pPr>
        <w:pStyle w:val="0"/>
        <w:spacing w:before="200" w:lineRule="auto"/>
        <w:ind w:firstLine="540"/>
        <w:jc w:val="both"/>
      </w:pPr>
      <w:r>
        <w:rPr>
          <w:sz w:val="20"/>
        </w:rPr>
        <w:t xml:space="preserve">б) объектах речного порта, определенных в </w:t>
      </w:r>
      <w:hyperlink w:history="0" r:id="rId126"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статье 3</w:t>
        </w:r>
      </w:hyperlink>
      <w:r>
        <w:rPr>
          <w:sz w:val="20"/>
        </w:rPr>
        <w:t xml:space="preserve"> Кодекса внутреннего водного транспорта;</w:t>
      </w:r>
    </w:p>
    <w:p>
      <w:pPr>
        <w:pStyle w:val="0"/>
        <w:spacing w:before="200" w:lineRule="auto"/>
        <w:ind w:firstLine="540"/>
        <w:jc w:val="both"/>
      </w:pPr>
      <w:r>
        <w:rPr>
          <w:sz w:val="20"/>
        </w:rPr>
        <w:t xml:space="preserve">в) территориях морских портов, установленных в соответствии со </w:t>
      </w:r>
      <w:hyperlink w:history="0" r:id="rId127"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 морских портах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99. Постоянный рейд осуществляется в отношении объектов федерального контроля, определенных </w:t>
      </w:r>
      <w:hyperlink w:history="0" w:anchor="P77" w:tooltip="7. Объектами федерального контроля в рамках федерального контроля являются:">
        <w:r>
          <w:rPr>
            <w:sz w:val="20"/>
            <w:color w:val="0000ff"/>
          </w:rPr>
          <w:t xml:space="preserve">пунктом 7</w:t>
        </w:r>
      </w:hyperlink>
      <w:r>
        <w:rPr>
          <w:sz w:val="20"/>
        </w:rPr>
        <w:t xml:space="preserve"> настоящего Положения, а также в отношении контролируемых лиц на территории (акватории) постоянного рейда.</w:t>
      </w:r>
    </w:p>
    <w:p>
      <w:pPr>
        <w:pStyle w:val="0"/>
        <w:spacing w:before="200" w:lineRule="auto"/>
        <w:ind w:firstLine="540"/>
        <w:jc w:val="both"/>
      </w:pPr>
      <w:r>
        <w:rPr>
          <w:sz w:val="20"/>
        </w:rPr>
        <w:t xml:space="preserve">100.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а) осмотр;</w:t>
      </w:r>
    </w:p>
    <w:p>
      <w:pPr>
        <w:pStyle w:val="0"/>
        <w:spacing w:before="200" w:lineRule="auto"/>
        <w:ind w:firstLine="540"/>
        <w:jc w:val="both"/>
      </w:pPr>
      <w:r>
        <w:rPr>
          <w:sz w:val="20"/>
        </w:rPr>
        <w:t xml:space="preserve">б) досмотр;</w:t>
      </w:r>
    </w:p>
    <w:p>
      <w:pPr>
        <w:pStyle w:val="0"/>
        <w:spacing w:before="200" w:lineRule="auto"/>
        <w:ind w:firstLine="540"/>
        <w:jc w:val="both"/>
      </w:pPr>
      <w:r>
        <w:rPr>
          <w:sz w:val="20"/>
        </w:rPr>
        <w:t xml:space="preserve">в) опрос;</w:t>
      </w:r>
    </w:p>
    <w:p>
      <w:pPr>
        <w:pStyle w:val="0"/>
        <w:spacing w:before="200" w:lineRule="auto"/>
        <w:ind w:firstLine="540"/>
        <w:jc w:val="both"/>
      </w:pPr>
      <w:r>
        <w:rPr>
          <w:sz w:val="20"/>
        </w:rPr>
        <w:t xml:space="preserve">г) истребование документов (в отношении организаций, осуществляющих эксплуатацию судоходных и портовых гидротехнических сооружений).</w:t>
      </w:r>
    </w:p>
    <w:p>
      <w:pPr>
        <w:pStyle w:val="0"/>
        <w:spacing w:before="200" w:lineRule="auto"/>
        <w:ind w:firstLine="540"/>
        <w:jc w:val="both"/>
      </w:pPr>
      <w:r>
        <w:rPr>
          <w:sz w:val="20"/>
        </w:rPr>
        <w:t xml:space="preserve">101. Досмотр осуществляется в присутствии контролируемого лица или его законного представителя.</w:t>
      </w:r>
    </w:p>
    <w:p>
      <w:pPr>
        <w:pStyle w:val="0"/>
        <w:spacing w:before="200" w:lineRule="auto"/>
        <w:ind w:firstLine="540"/>
        <w:jc w:val="both"/>
      </w:pPr>
      <w:r>
        <w:rPr>
          <w:sz w:val="20"/>
        </w:rPr>
        <w:t xml:space="preserve">102. Для осуществления постоянного рейда оформляются рейдовые задания на проведение постоянного рейда.</w:t>
      </w:r>
    </w:p>
    <w:p>
      <w:pPr>
        <w:pStyle w:val="0"/>
        <w:spacing w:before="200" w:lineRule="auto"/>
        <w:ind w:firstLine="540"/>
        <w:jc w:val="both"/>
      </w:pPr>
      <w:r>
        <w:rPr>
          <w:sz w:val="20"/>
        </w:rPr>
        <w:t xml:space="preserve">103. Рейдовые задания утверждаются руководителем (заместителем руководителя) контрольного (надзорного) органа или руководителем (заместителем руководителя) территориального органа контрольного (надзорного) органа и заверяются печатью издавшего его контрольного (надзорного) органа.</w:t>
      </w:r>
    </w:p>
    <w:p>
      <w:pPr>
        <w:pStyle w:val="0"/>
        <w:spacing w:before="200" w:lineRule="auto"/>
        <w:ind w:firstLine="540"/>
        <w:jc w:val="both"/>
      </w:pPr>
      <w:r>
        <w:rPr>
          <w:sz w:val="20"/>
        </w:rPr>
        <w:t xml:space="preserve">104. Рейдовые задания подлежат регистрации в журнале учета рейдовых заданий территориального органа контрольного (надзорного) органа в течение 3 рабочих дней со дня утверждения рейдового задания.</w:t>
      </w:r>
    </w:p>
    <w:p>
      <w:pPr>
        <w:pStyle w:val="0"/>
        <w:spacing w:before="200" w:lineRule="auto"/>
        <w:ind w:firstLine="540"/>
        <w:jc w:val="both"/>
      </w:pPr>
      <w:r>
        <w:rPr>
          <w:sz w:val="20"/>
        </w:rPr>
        <w:t xml:space="preserve">105. В рейдовом задании содержатся:</w:t>
      </w:r>
    </w:p>
    <w:p>
      <w:pPr>
        <w:pStyle w:val="0"/>
        <w:spacing w:before="200" w:lineRule="auto"/>
        <w:ind w:firstLine="540"/>
        <w:jc w:val="both"/>
      </w:pPr>
      <w:r>
        <w:rPr>
          <w:sz w:val="20"/>
        </w:rPr>
        <w:t xml:space="preserve">а) правовые основания проведения рейда, в том числе подлежащие проверке требования, установленные нормативными правовыми актами Российской Федерации в области торгового мореплавания, судоходства и безопасности гидротехнических сооружений;</w:t>
      </w:r>
    </w:p>
    <w:p>
      <w:pPr>
        <w:pStyle w:val="0"/>
        <w:spacing w:before="200" w:lineRule="auto"/>
        <w:ind w:firstLine="540"/>
        <w:jc w:val="both"/>
      </w:pPr>
      <w:r>
        <w:rPr>
          <w:sz w:val="20"/>
        </w:rPr>
        <w:t xml:space="preserve">б) наименование органа государственного контроля (надзора), должности, фамилии, имена, отчества (при наличии) должностных лиц, уполномоченных на проведение рейда;</w:t>
      </w:r>
    </w:p>
    <w:p>
      <w:pPr>
        <w:pStyle w:val="0"/>
        <w:spacing w:before="200" w:lineRule="auto"/>
        <w:ind w:firstLine="540"/>
        <w:jc w:val="both"/>
      </w:pPr>
      <w:r>
        <w:rPr>
          <w:sz w:val="20"/>
        </w:rPr>
        <w:t xml:space="preserve">в) цели, задачи и предмет рейда и срок его проведения;</w:t>
      </w:r>
    </w:p>
    <w:p>
      <w:pPr>
        <w:pStyle w:val="0"/>
        <w:spacing w:before="200" w:lineRule="auto"/>
        <w:ind w:firstLine="540"/>
        <w:jc w:val="both"/>
      </w:pPr>
      <w:r>
        <w:rPr>
          <w:sz w:val="20"/>
        </w:rPr>
        <w:t xml:space="preserve">г) даты начала и окончания проведения рейда.</w:t>
      </w:r>
    </w:p>
    <w:p>
      <w:pPr>
        <w:pStyle w:val="0"/>
        <w:spacing w:before="200" w:lineRule="auto"/>
        <w:ind w:firstLine="540"/>
        <w:jc w:val="both"/>
      </w:pPr>
      <w:r>
        <w:rPr>
          <w:sz w:val="20"/>
        </w:rPr>
        <w:t xml:space="preserve">106. При осуществлении постоянного рейда время взаимодействия должностного лица, уполномоченного на проведение рейда, с одним контролируемым лицом не превышает 30 минут.</w:t>
      </w:r>
    </w:p>
    <w:p>
      <w:pPr>
        <w:pStyle w:val="0"/>
        <w:spacing w:before="200" w:lineRule="auto"/>
        <w:ind w:firstLine="540"/>
        <w:jc w:val="both"/>
      </w:pPr>
      <w:r>
        <w:rPr>
          <w:sz w:val="20"/>
        </w:rPr>
        <w:t xml:space="preserve">107. В случае если в результате постоянного рейда были выявлены нарушения обязательных требований, уполномоченное должностное лицо на месте составляет акт в отношении каждого контролируемого лица, допустившего нарушение обязательных требований.</w:t>
      </w:r>
    </w:p>
    <w:p>
      <w:pPr>
        <w:pStyle w:val="0"/>
        <w:jc w:val="both"/>
      </w:pPr>
      <w:r>
        <w:rPr>
          <w:sz w:val="20"/>
        </w:rPr>
      </w:r>
    </w:p>
    <w:p>
      <w:pPr>
        <w:pStyle w:val="2"/>
        <w:outlineLvl w:val="1"/>
        <w:jc w:val="center"/>
      </w:pPr>
      <w:r>
        <w:rPr>
          <w:sz w:val="20"/>
        </w:rPr>
        <w:t xml:space="preserve">VI. Результаты контрольного (надзорного) мероприятия</w:t>
      </w:r>
    </w:p>
    <w:p>
      <w:pPr>
        <w:pStyle w:val="0"/>
        <w:jc w:val="both"/>
      </w:pPr>
      <w:r>
        <w:rPr>
          <w:sz w:val="20"/>
        </w:rPr>
      </w:r>
    </w:p>
    <w:p>
      <w:pPr>
        <w:pStyle w:val="0"/>
        <w:ind w:firstLine="540"/>
        <w:jc w:val="both"/>
      </w:pPr>
      <w:r>
        <w:rPr>
          <w:sz w:val="20"/>
        </w:rPr>
        <w:t xml:space="preserve">108. По окончании проведения контрольного (надзорного) мероприятия составляется акт.</w:t>
      </w:r>
    </w:p>
    <w:p>
      <w:pPr>
        <w:pStyle w:val="0"/>
        <w:spacing w:before="200" w:lineRule="auto"/>
        <w:ind w:firstLine="540"/>
        <w:jc w:val="both"/>
      </w:pPr>
      <w:r>
        <w:rPr>
          <w:sz w:val="20"/>
        </w:rPr>
        <w:t xml:space="preserve">109. Оформление акта производится на месте проведения контрольного (надзорного) мероприятия в день окончания проведения такого мероприятия.</w:t>
      </w:r>
    </w:p>
    <w:p>
      <w:pPr>
        <w:pStyle w:val="0"/>
        <w:spacing w:before="200" w:lineRule="auto"/>
        <w:ind w:firstLine="540"/>
        <w:jc w:val="both"/>
      </w:pPr>
      <w:r>
        <w:rPr>
          <w:sz w:val="20"/>
        </w:rPr>
        <w:t xml:space="preserve">110. К акту прилагаются оригиналы документов или их копии, иные материалы, являющиеся доказательствами нарушения обязательных требований, связанные с результатами контрольных (надзорных) мероприятий.</w:t>
      </w:r>
    </w:p>
    <w:p>
      <w:pPr>
        <w:pStyle w:val="0"/>
        <w:jc w:val="both"/>
      </w:pPr>
      <w:r>
        <w:rPr>
          <w:sz w:val="20"/>
        </w:rPr>
      </w:r>
    </w:p>
    <w:p>
      <w:pPr>
        <w:pStyle w:val="2"/>
        <w:outlineLvl w:val="1"/>
        <w:jc w:val="center"/>
      </w:pPr>
      <w:r>
        <w:rPr>
          <w:sz w:val="20"/>
        </w:rPr>
        <w:t xml:space="preserve">VII. Обжалование решений контрольного (надзорного) органа,</w:t>
      </w:r>
    </w:p>
    <w:p>
      <w:pPr>
        <w:pStyle w:val="2"/>
        <w:jc w:val="center"/>
      </w:pPr>
      <w:r>
        <w:rPr>
          <w:sz w:val="20"/>
        </w:rPr>
        <w:t xml:space="preserve">действий (бездействия) его должностных лиц</w:t>
      </w:r>
    </w:p>
    <w:p>
      <w:pPr>
        <w:pStyle w:val="0"/>
        <w:jc w:val="both"/>
      </w:pPr>
      <w:r>
        <w:rPr>
          <w:sz w:val="20"/>
        </w:rPr>
      </w:r>
    </w:p>
    <w:p>
      <w:pPr>
        <w:pStyle w:val="0"/>
        <w:ind w:firstLine="540"/>
        <w:jc w:val="both"/>
      </w:pPr>
      <w:r>
        <w:rPr>
          <w:sz w:val="20"/>
        </w:rPr>
        <w:t xml:space="preserve">111. Рассмотрение жалобы осуществляется в следующем порядке:</w:t>
      </w:r>
    </w:p>
    <w:p>
      <w:pPr>
        <w:pStyle w:val="0"/>
        <w:spacing w:before="200" w:lineRule="auto"/>
        <w:ind w:firstLine="540"/>
        <w:jc w:val="both"/>
      </w:pPr>
      <w:r>
        <w:rPr>
          <w:sz w:val="20"/>
        </w:rPr>
        <w:t xml:space="preserve">а)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w:t>
      </w:r>
    </w:p>
    <w:p>
      <w:pPr>
        <w:pStyle w:val="0"/>
        <w:spacing w:before="200" w:lineRule="auto"/>
        <w:ind w:firstLine="540"/>
        <w:jc w:val="both"/>
      </w:pPr>
      <w:r>
        <w:rPr>
          <w:sz w:val="20"/>
        </w:rPr>
        <w:t xml:space="preserve">б)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исполнительной власти;</w:t>
      </w:r>
    </w:p>
    <w:p>
      <w:pPr>
        <w:pStyle w:val="0"/>
        <w:spacing w:before="200" w:lineRule="auto"/>
        <w:ind w:firstLine="540"/>
        <w:jc w:val="both"/>
      </w:pPr>
      <w:r>
        <w:rPr>
          <w:sz w:val="20"/>
        </w:rPr>
        <w:t xml:space="preserve">в) в случае обжалования решений,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г) жалоба на решения, действия (бездействие) руководителя контрольного (надзорного) органа рассматривается руководителем контрольного (надзорного) органа.</w:t>
      </w:r>
    </w:p>
    <w:p>
      <w:pPr>
        <w:pStyle w:val="0"/>
        <w:jc w:val="both"/>
      </w:pPr>
      <w:r>
        <w:rPr>
          <w:sz w:val="20"/>
        </w:rPr>
        <w:t xml:space="preserve">(пп. "г" введен </w:t>
      </w:r>
      <w:hyperlink w:history="0" r:id="rId128"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02.09.2025 N 1354)</w:t>
      </w:r>
    </w:p>
    <w:p>
      <w:pPr>
        <w:pStyle w:val="0"/>
        <w:spacing w:before="200" w:lineRule="auto"/>
        <w:ind w:firstLine="540"/>
        <w:jc w:val="both"/>
      </w:pPr>
      <w:r>
        <w:rPr>
          <w:sz w:val="20"/>
        </w:rPr>
        <w:t xml:space="preserve">112. Жалоба подлежит рассмотрению уполномоченным на рассмотрение жалобы органом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w:t>
      </w:r>
    </w:p>
    <w:p>
      <w:pPr>
        <w:pStyle w:val="0"/>
        <w:spacing w:before="200" w:lineRule="auto"/>
        <w:ind w:firstLine="540"/>
        <w:jc w:val="both"/>
      </w:pPr>
      <w:r>
        <w:rPr>
          <w:sz w:val="20"/>
        </w:rPr>
        <w:t xml:space="preserve">Жалоба контролируемого лица на решение об отнесении объектов федерального контроля к соответствующей категории риска рассматривается в срок не более 5 рабочих дней.</w:t>
      </w:r>
    </w:p>
    <w:p>
      <w:pPr>
        <w:pStyle w:val="0"/>
        <w:jc w:val="both"/>
      </w:pPr>
      <w:r>
        <w:rPr>
          <w:sz w:val="20"/>
        </w:rPr>
        <w:t xml:space="preserve">(п. 112 в ред. </w:t>
      </w:r>
      <w:hyperlink w:history="0" r:id="rId129"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02.09.2025 N 1354)</w:t>
      </w:r>
    </w:p>
    <w:p>
      <w:pPr>
        <w:pStyle w:val="0"/>
        <w:spacing w:before="200" w:lineRule="auto"/>
        <w:ind w:firstLine="540"/>
        <w:jc w:val="both"/>
      </w:pPr>
      <w:r>
        <w:rPr>
          <w:sz w:val="20"/>
        </w:rPr>
        <w:t xml:space="preserve">113. Уполномоченное должностное лицо, рассматривающее жалобу,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должностным лицом, рассматривающим жалобу,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114. По итогам рассмотрения жалобы должностное лицо, уполномоченное на рассмотрение жалобы, принимает одно из следующих решений:</w:t>
      </w:r>
    </w:p>
    <w:p>
      <w:pPr>
        <w:pStyle w:val="0"/>
        <w:spacing w:before="200" w:lineRule="auto"/>
        <w:ind w:firstLine="540"/>
        <w:jc w:val="both"/>
      </w:pPr>
      <w:r>
        <w:rPr>
          <w:sz w:val="20"/>
        </w:rPr>
        <w:t xml:space="preserve">а) оставляет жалобу без удовлетворения;</w:t>
      </w:r>
    </w:p>
    <w:p>
      <w:pPr>
        <w:pStyle w:val="0"/>
        <w:spacing w:before="200" w:lineRule="auto"/>
        <w:ind w:firstLine="540"/>
        <w:jc w:val="both"/>
      </w:pPr>
      <w:r>
        <w:rPr>
          <w:sz w:val="20"/>
        </w:rPr>
        <w:t xml:space="preserve">б) отменяет решение территориального органа контрольного (надзорного) органа полностью или частично либо принимает новое решение;</w:t>
      </w:r>
    </w:p>
    <w:p>
      <w:pPr>
        <w:pStyle w:val="0"/>
        <w:spacing w:before="200" w:lineRule="auto"/>
        <w:ind w:firstLine="540"/>
        <w:jc w:val="both"/>
      </w:pPr>
      <w:r>
        <w:rPr>
          <w:sz w:val="20"/>
        </w:rPr>
        <w:t xml:space="preserve">в) признает действия (бездействие) должностных лиц территориального органа контрольного (надзорного) органа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115. Решение, принятое по результатам рассмотрения жалобы,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и (или) региональном портале государственных и муниципальных услуг (функций) не позднее одного рабочего дня со дня его принятия.</w:t>
      </w:r>
    </w:p>
    <w:p>
      <w:pPr>
        <w:pStyle w:val="0"/>
        <w:ind w:firstLine="540"/>
        <w:jc w:val="both"/>
      </w:pPr>
      <w:r>
        <w:rPr>
          <w:sz w:val="20"/>
        </w:rPr>
      </w:r>
    </w:p>
    <w:p>
      <w:pPr>
        <w:pStyle w:val="2"/>
        <w:outlineLvl w:val="1"/>
        <w:jc w:val="center"/>
      </w:pPr>
      <w:r>
        <w:rPr>
          <w:sz w:val="20"/>
        </w:rPr>
        <w:t xml:space="preserve">VIII. Ключевые показатели федерального контроля</w:t>
      </w:r>
    </w:p>
    <w:p>
      <w:pPr>
        <w:pStyle w:val="2"/>
        <w:jc w:val="center"/>
      </w:pPr>
      <w:r>
        <w:rPr>
          <w:sz w:val="20"/>
        </w:rPr>
        <w:t xml:space="preserve">и их целевые значения</w:t>
      </w:r>
    </w:p>
    <w:p>
      <w:pPr>
        <w:pStyle w:val="0"/>
        <w:jc w:val="center"/>
      </w:pPr>
      <w:r>
        <w:rPr>
          <w:sz w:val="20"/>
        </w:rPr>
      </w:r>
    </w:p>
    <w:p>
      <w:pPr>
        <w:pStyle w:val="0"/>
        <w:jc w:val="center"/>
      </w:pPr>
      <w:r>
        <w:rPr>
          <w:sz w:val="20"/>
        </w:rPr>
        <w:t xml:space="preserve">(введен </w:t>
      </w:r>
      <w:hyperlink w:history="0" r:id="rId130" w:tooltip="Постановление Правительства РФ от 30.11.2021 N 2112 &quot;О внесении изменений в постановление Правительства Российской Федерации от 29 июня 2021 г. N 1047&quot; {КонсультантПлюс}">
        <w:r>
          <w:rPr>
            <w:sz w:val="20"/>
            <w:color w:val="0000ff"/>
          </w:rPr>
          <w:t xml:space="preserve">Постановлением</w:t>
        </w:r>
      </w:hyperlink>
      <w:r>
        <w:rPr>
          <w:sz w:val="20"/>
        </w:rPr>
        <w:t xml:space="preserve"> Правительства РФ от 30.11.2021 N 2112)</w:t>
      </w:r>
    </w:p>
    <w:p>
      <w:pPr>
        <w:pStyle w:val="0"/>
        <w:jc w:val="both"/>
      </w:pPr>
      <w:r>
        <w:rPr>
          <w:sz w:val="20"/>
        </w:rPr>
      </w:r>
    </w:p>
    <w:p>
      <w:pPr>
        <w:pStyle w:val="0"/>
        <w:ind w:firstLine="540"/>
        <w:jc w:val="both"/>
      </w:pPr>
      <w:r>
        <w:rPr>
          <w:sz w:val="20"/>
        </w:rPr>
        <w:t xml:space="preserve">116. Ключевые показатели федерального контроля и их целевые значения указаны в </w:t>
      </w:r>
      <w:hyperlink w:history="0" w:anchor="P582" w:tooltip="КЛЮЧЕВЫЕ ПОКАЗАТЕЛИ">
        <w:r>
          <w:rPr>
            <w:sz w:val="20"/>
            <w:color w:val="0000ff"/>
          </w:rPr>
          <w:t xml:space="preserve">приложении N 4</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федеральном</w:t>
      </w:r>
    </w:p>
    <w:p>
      <w:pPr>
        <w:pStyle w:val="0"/>
        <w:jc w:val="right"/>
      </w:pPr>
      <w:r>
        <w:rPr>
          <w:sz w:val="20"/>
        </w:rPr>
        <w:t xml:space="preserve">государственном контроле (надзоре)</w:t>
      </w:r>
    </w:p>
    <w:p>
      <w:pPr>
        <w:pStyle w:val="0"/>
        <w:jc w:val="right"/>
      </w:pPr>
      <w:r>
        <w:rPr>
          <w:sz w:val="20"/>
        </w:rPr>
        <w:t xml:space="preserve">в области торгового мореплавания</w:t>
      </w:r>
    </w:p>
    <w:p>
      <w:pPr>
        <w:pStyle w:val="0"/>
        <w:jc w:val="right"/>
      </w:pPr>
      <w:r>
        <w:rPr>
          <w:sz w:val="20"/>
        </w:rPr>
        <w:t xml:space="preserve">и внутреннего водного транспорта</w:t>
      </w:r>
    </w:p>
    <w:p>
      <w:pPr>
        <w:pStyle w:val="0"/>
        <w:jc w:val="both"/>
      </w:pPr>
      <w:r>
        <w:rPr>
          <w:sz w:val="20"/>
        </w:rPr>
      </w:r>
    </w:p>
    <w:bookmarkStart w:id="450" w:name="P450"/>
    <w:bookmarkEnd w:id="450"/>
    <w:p>
      <w:pPr>
        <w:pStyle w:val="2"/>
        <w:jc w:val="center"/>
      </w:pPr>
      <w:r>
        <w:rPr>
          <w:sz w:val="20"/>
        </w:rPr>
        <w:t xml:space="preserve">КРИТЕРИИ</w:t>
      </w:r>
    </w:p>
    <w:p>
      <w:pPr>
        <w:pStyle w:val="2"/>
        <w:jc w:val="center"/>
      </w:pPr>
      <w:r>
        <w:rPr>
          <w:sz w:val="20"/>
        </w:rPr>
        <w:t xml:space="preserve">ОТНЕСЕНИЯ ОБЪЕКТОВ ФЕДЕРАЛЬНОГО КОНТРОЛЯ</w:t>
      </w:r>
    </w:p>
    <w:p>
      <w:pPr>
        <w:pStyle w:val="2"/>
        <w:jc w:val="center"/>
      </w:pPr>
      <w:r>
        <w:rPr>
          <w:sz w:val="20"/>
        </w:rPr>
        <w:t xml:space="preserve">(ЗА ИСКЛЮЧЕНИЕМ СУДОХОДНЫХ ГИДРОТЕХНИЧЕСКИХ СООРУЖЕНИЙ</w:t>
      </w:r>
    </w:p>
    <w:p>
      <w:pPr>
        <w:pStyle w:val="2"/>
        <w:jc w:val="center"/>
      </w:pPr>
      <w:r>
        <w:rPr>
          <w:sz w:val="20"/>
        </w:rPr>
        <w:t xml:space="preserve">И СУДОВ РЫБОПРОМЫСЛОВОГО ФЛОТА В РАЙОНАХ ПРОМЫСЛА</w:t>
      </w:r>
    </w:p>
    <w:p>
      <w:pPr>
        <w:pStyle w:val="2"/>
        <w:jc w:val="center"/>
      </w:pPr>
      <w:r>
        <w:rPr>
          <w:sz w:val="20"/>
        </w:rPr>
        <w:t xml:space="preserve">ПРИ ОСУЩЕСТВЛЕНИИ РЫБОЛОВСТВА) К ОПРЕДЕЛЕННОЙ</w:t>
      </w:r>
    </w:p>
    <w:p>
      <w:pPr>
        <w:pStyle w:val="2"/>
        <w:jc w:val="center"/>
      </w:pPr>
      <w:r>
        <w:rPr>
          <w:sz w:val="20"/>
        </w:rPr>
        <w:t xml:space="preserve">КАТЕГОРИИ РИСКА</w:t>
      </w:r>
    </w:p>
    <w:p>
      <w:pPr>
        <w:pStyle w:val="0"/>
        <w:jc w:val="both"/>
      </w:pPr>
      <w:r>
        <w:rPr>
          <w:sz w:val="20"/>
        </w:rPr>
      </w:r>
    </w:p>
    <w:p>
      <w:pPr>
        <w:pStyle w:val="0"/>
        <w:ind w:firstLine="540"/>
        <w:jc w:val="both"/>
      </w:pPr>
      <w:r>
        <w:rPr>
          <w:sz w:val="20"/>
        </w:rPr>
        <w:t xml:space="preserve">1. С учетом тяжести потенциальных негативных последствий возможного несоблюдения контролируемым лицом обязательных требований деятельность контролируемого лица, подлежащая федеральному государственному контролю (надзору) в области торгового мореплавания и внутреннего водного транспорта (за исключением эксплуатации судоходных гидротехнических сооружений), разделяется на группы тяжести "А", "Б", "В", "Г".</w:t>
      </w:r>
    </w:p>
    <w:p>
      <w:pPr>
        <w:pStyle w:val="0"/>
        <w:spacing w:before="200" w:lineRule="auto"/>
        <w:ind w:firstLine="540"/>
        <w:jc w:val="both"/>
      </w:pPr>
      <w:r>
        <w:rPr>
          <w:sz w:val="20"/>
        </w:rPr>
        <w:t xml:space="preserve">2. К группе тяжести "А" относятся следующие виды деятельности:</w:t>
      </w:r>
    </w:p>
    <w:p>
      <w:pPr>
        <w:pStyle w:val="0"/>
        <w:spacing w:before="200" w:lineRule="auto"/>
        <w:ind w:firstLine="540"/>
        <w:jc w:val="both"/>
      </w:pPr>
      <w:r>
        <w:rPr>
          <w:sz w:val="20"/>
        </w:rPr>
        <w:t xml:space="preserve">а) перевозка внутренним водным транспортом, морским транспортом пассажиров;</w:t>
      </w:r>
    </w:p>
    <w:p>
      <w:pPr>
        <w:pStyle w:val="0"/>
        <w:spacing w:before="200" w:lineRule="auto"/>
        <w:ind w:firstLine="540"/>
        <w:jc w:val="both"/>
      </w:pPr>
      <w:r>
        <w:rPr>
          <w:sz w:val="20"/>
        </w:rPr>
        <w:t xml:space="preserve">б) перевозка внутренним водным транспортом, морским транспортом опасных грузов;</w:t>
      </w:r>
    </w:p>
    <w:p>
      <w:pPr>
        <w:pStyle w:val="0"/>
        <w:spacing w:before="200" w:lineRule="auto"/>
        <w:ind w:firstLine="540"/>
        <w:jc w:val="both"/>
      </w:pPr>
      <w:r>
        <w:rPr>
          <w:sz w:val="20"/>
        </w:rPr>
        <w:t xml:space="preserve">в) погрузочно-разгрузочная деятельность применительно к опасным грузам на внутреннем водном транспорте, в морских портах;</w:t>
      </w:r>
    </w:p>
    <w:p>
      <w:pPr>
        <w:pStyle w:val="0"/>
        <w:spacing w:before="200" w:lineRule="auto"/>
        <w:ind w:firstLine="540"/>
        <w:jc w:val="both"/>
      </w:pPr>
      <w:r>
        <w:rPr>
          <w:sz w:val="20"/>
        </w:rPr>
        <w:t xml:space="preserve">г) деятельность по эксплуатации портовых гидротехнических сооружений, на которых осуществляется погрузочно-разгрузочная деятельность с опасными грузами на внутреннем водном транспорте, в морских портах;</w:t>
      </w:r>
    </w:p>
    <w:p>
      <w:pPr>
        <w:pStyle w:val="0"/>
        <w:spacing w:before="200" w:lineRule="auto"/>
        <w:ind w:firstLine="540"/>
        <w:jc w:val="both"/>
      </w:pPr>
      <w:r>
        <w:rPr>
          <w:sz w:val="20"/>
        </w:rPr>
        <w:t xml:space="preserve">д) деятельность по эксплуатации портовых гидротехнических сооружений, на которых осуществляется посадка (высадка) пассажиров на внутреннем водном транспорте, в морских портах.</w:t>
      </w:r>
    </w:p>
    <w:p>
      <w:pPr>
        <w:pStyle w:val="0"/>
        <w:spacing w:before="200" w:lineRule="auto"/>
        <w:ind w:firstLine="540"/>
        <w:jc w:val="both"/>
      </w:pPr>
      <w:r>
        <w:rPr>
          <w:sz w:val="20"/>
        </w:rPr>
        <w:t xml:space="preserve">3. К группе тяжести "Б" относятся следующие виды деятельности:</w:t>
      </w:r>
    </w:p>
    <w:p>
      <w:pPr>
        <w:pStyle w:val="0"/>
        <w:spacing w:before="200" w:lineRule="auto"/>
        <w:ind w:firstLine="540"/>
        <w:jc w:val="both"/>
      </w:pPr>
      <w:r>
        <w:rPr>
          <w:sz w:val="20"/>
        </w:rPr>
        <w:t xml:space="preserve">а) перевозка внутренним водным транспортом, морским транспортом грузов, за исключением опасных грузов, кроме осуществления такой деятельности с использованием маломерных судов;</w:t>
      </w:r>
    </w:p>
    <w:p>
      <w:pPr>
        <w:pStyle w:val="0"/>
        <w:spacing w:before="200" w:lineRule="auto"/>
        <w:ind w:firstLine="540"/>
        <w:jc w:val="both"/>
      </w:pPr>
      <w:r>
        <w:rPr>
          <w:sz w:val="20"/>
        </w:rPr>
        <w:t xml:space="preserve">б) буксировка судов и иных плавучих объектов морским транспортом, кроме осуществления такой деятельности с использованием маломерных судов;</w:t>
      </w:r>
    </w:p>
    <w:p>
      <w:pPr>
        <w:pStyle w:val="0"/>
        <w:spacing w:before="200" w:lineRule="auto"/>
        <w:ind w:firstLine="540"/>
        <w:jc w:val="both"/>
      </w:pPr>
      <w:r>
        <w:rPr>
          <w:sz w:val="20"/>
        </w:rPr>
        <w:t xml:space="preserve">в) осуществление поиска и спасания людей и судов, терпящих бедствие на море в поисково-спасательных районах Российской Федерации;</w:t>
      </w:r>
    </w:p>
    <w:p>
      <w:pPr>
        <w:pStyle w:val="0"/>
        <w:spacing w:before="200" w:lineRule="auto"/>
        <w:ind w:firstLine="540"/>
        <w:jc w:val="both"/>
      </w:pPr>
      <w:r>
        <w:rPr>
          <w:sz w:val="20"/>
        </w:rPr>
        <w:t xml:space="preserve">г) организация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w:t>
      </w:r>
    </w:p>
    <w:p>
      <w:pPr>
        <w:pStyle w:val="0"/>
        <w:spacing w:before="200" w:lineRule="auto"/>
        <w:ind w:firstLine="540"/>
        <w:jc w:val="both"/>
      </w:pPr>
      <w:r>
        <w:rPr>
          <w:sz w:val="20"/>
        </w:rPr>
        <w:t xml:space="preserve">д) организация работ по предупреждению и ликвидации разливов нефти и нефтепродуктов на внутренних водных путях с судов и объектов морского и речного транспорта;</w:t>
      </w:r>
    </w:p>
    <w:p>
      <w:pPr>
        <w:pStyle w:val="0"/>
        <w:spacing w:before="200" w:lineRule="auto"/>
        <w:ind w:firstLine="540"/>
        <w:jc w:val="both"/>
      </w:pPr>
      <w:r>
        <w:rPr>
          <w:sz w:val="20"/>
        </w:rPr>
        <w:t xml:space="preserve">е) деятельность по эксплуатации портовых гидротехнических сооружений, на которых осуществляется погрузочно-разгрузочная деятельность, за исключением деятельности с опасными грузами, кроме осуществления такой деятельности с использованием маломерных судов.</w:t>
      </w:r>
    </w:p>
    <w:p>
      <w:pPr>
        <w:pStyle w:val="0"/>
        <w:spacing w:before="200" w:lineRule="auto"/>
        <w:ind w:firstLine="540"/>
        <w:jc w:val="both"/>
      </w:pPr>
      <w:r>
        <w:rPr>
          <w:sz w:val="20"/>
        </w:rPr>
        <w:t xml:space="preserve">4. К группе тяжести "В" относятся следующие виды деятельности:</w:t>
      </w:r>
    </w:p>
    <w:p>
      <w:pPr>
        <w:pStyle w:val="0"/>
        <w:spacing w:before="200" w:lineRule="auto"/>
        <w:ind w:firstLine="540"/>
        <w:jc w:val="both"/>
      </w:pPr>
      <w:r>
        <w:rPr>
          <w:sz w:val="20"/>
        </w:rPr>
        <w:t xml:space="preserve">а) перевозка внутренним водным транспортом, морским транспортом грузов, за исключением опасных грузов, с использованием маломерных судов;</w:t>
      </w:r>
    </w:p>
    <w:p>
      <w:pPr>
        <w:pStyle w:val="0"/>
        <w:spacing w:before="200" w:lineRule="auto"/>
        <w:ind w:firstLine="540"/>
        <w:jc w:val="both"/>
      </w:pPr>
      <w:r>
        <w:rPr>
          <w:sz w:val="20"/>
        </w:rPr>
        <w:t xml:space="preserve">б) буксировка судов и иных плавучих объектов морским транспортом с использованием маломерных судов;</w:t>
      </w:r>
    </w:p>
    <w:p>
      <w:pPr>
        <w:pStyle w:val="0"/>
        <w:spacing w:before="200" w:lineRule="auto"/>
        <w:ind w:firstLine="540"/>
        <w:jc w:val="both"/>
      </w:pPr>
      <w:r>
        <w:rPr>
          <w:sz w:val="20"/>
        </w:rPr>
        <w:t xml:space="preserve">в) деятельность по соблюдению требований, предусмотренных правилами содержания судовых ходов, и деятельность по осуществлению навигационно-гидрографического обеспечения условий плавания судов на внутренних водных путях;</w:t>
      </w:r>
    </w:p>
    <w:p>
      <w:pPr>
        <w:pStyle w:val="0"/>
        <w:spacing w:before="200" w:lineRule="auto"/>
        <w:ind w:firstLine="540"/>
        <w:jc w:val="both"/>
      </w:pPr>
      <w:r>
        <w:rPr>
          <w:sz w:val="20"/>
        </w:rPr>
        <w:t xml:space="preserve">г) деятельность по эксплуатации портовых гидротехнических сооружений, на которых осуществляется погрузочно-разгрузочная деятельность, за исключением деятельности с опасными грузами, с использованием маломерных судов.</w:t>
      </w:r>
    </w:p>
    <w:p>
      <w:pPr>
        <w:pStyle w:val="0"/>
        <w:spacing w:before="200" w:lineRule="auto"/>
        <w:ind w:firstLine="540"/>
        <w:jc w:val="both"/>
      </w:pPr>
      <w:r>
        <w:rPr>
          <w:sz w:val="20"/>
        </w:rPr>
        <w:t xml:space="preserve">5. К группе тяжести "Г" относятся следующие виды деятельности:</w:t>
      </w:r>
    </w:p>
    <w:p>
      <w:pPr>
        <w:pStyle w:val="0"/>
        <w:spacing w:before="200" w:lineRule="auto"/>
        <w:ind w:firstLine="540"/>
        <w:jc w:val="both"/>
      </w:pPr>
      <w:r>
        <w:rPr>
          <w:sz w:val="20"/>
        </w:rPr>
        <w:t xml:space="preserve">а) эксплуатация судов портового флота, технического флота, иных судов и плавучих объектов, не используемых в целях перевозки пассажиров, грузов и буксировки;</w:t>
      </w:r>
    </w:p>
    <w:p>
      <w:pPr>
        <w:pStyle w:val="0"/>
        <w:spacing w:before="200" w:lineRule="auto"/>
        <w:ind w:firstLine="540"/>
        <w:jc w:val="both"/>
      </w:pPr>
      <w:r>
        <w:rPr>
          <w:sz w:val="20"/>
        </w:rPr>
        <w:t xml:space="preserve">б) лоцманская проводка судов морского и внутреннего водного транспорта;</w:t>
      </w:r>
    </w:p>
    <w:p>
      <w:pPr>
        <w:pStyle w:val="0"/>
        <w:spacing w:before="200" w:lineRule="auto"/>
        <w:ind w:firstLine="540"/>
        <w:jc w:val="both"/>
      </w:pPr>
      <w:r>
        <w:rPr>
          <w:sz w:val="20"/>
        </w:rPr>
        <w:t xml:space="preserve">в) деятельность капитанов морских портов по осуществлению ими контроля и надзора за обеспечением безопасности судоходства и порядка в порту;</w:t>
      </w:r>
    </w:p>
    <w:p>
      <w:pPr>
        <w:pStyle w:val="0"/>
        <w:spacing w:before="200" w:lineRule="auto"/>
        <w:ind w:firstLine="540"/>
        <w:jc w:val="both"/>
      </w:pPr>
      <w:r>
        <w:rPr>
          <w:sz w:val="20"/>
        </w:rPr>
        <w:t xml:space="preserve">г) деятельность капитана бассейна внутренних водных путей по осуществлению государственного портового контроля.</w:t>
      </w:r>
    </w:p>
    <w:p>
      <w:pPr>
        <w:pStyle w:val="0"/>
        <w:spacing w:before="200" w:lineRule="auto"/>
        <w:ind w:firstLine="540"/>
        <w:jc w:val="both"/>
      </w:pPr>
      <w:r>
        <w:rPr>
          <w:sz w:val="20"/>
        </w:rPr>
        <w:t xml:space="preserve">6.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pPr>
        <w:pStyle w:val="0"/>
        <w:spacing w:before="200" w:lineRule="auto"/>
        <w:ind w:firstLine="540"/>
        <w:jc w:val="both"/>
      </w:pPr>
      <w:r>
        <w:rPr>
          <w:sz w:val="20"/>
        </w:rPr>
        <w:t xml:space="preserve">7. С учетом оценки вероятности несоблюдения контролируемыми лицами обязательных требований деятельность, подлежащая федеральному государственному контролю (надзору) в области торгового мореплавания и внутреннего водного транспорта, разделяется на группы вероятности "1", "2", "3", "4".</w:t>
      </w:r>
    </w:p>
    <w:bookmarkStart w:id="483" w:name="P483"/>
    <w:bookmarkEnd w:id="483"/>
    <w:p>
      <w:pPr>
        <w:pStyle w:val="0"/>
        <w:spacing w:before="200" w:lineRule="auto"/>
        <w:ind w:firstLine="540"/>
        <w:jc w:val="both"/>
      </w:pPr>
      <w:r>
        <w:rPr>
          <w:sz w:val="20"/>
        </w:rPr>
        <w:t xml:space="preserve">8. К группе вероятности "1"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более 10 решений (постановлений) о назначении административного наказания за правонарушения, предусмотренные </w:t>
      </w:r>
      <w:hyperlink w:history="0" r:id="rId131"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статьями 7.7</w:t>
        </w:r>
      </w:hyperlink>
      <w:r>
        <w:rPr>
          <w:sz w:val="20"/>
        </w:rPr>
        <w:t xml:space="preserve">, </w:t>
      </w:r>
      <w:hyperlink w:history="0" r:id="rId13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9.2</w:t>
        </w:r>
      </w:hyperlink>
      <w:r>
        <w:rPr>
          <w:sz w:val="20"/>
        </w:rPr>
        <w:t xml:space="preserve">, </w:t>
      </w:r>
      <w:hyperlink w:history="0" r:id="rId13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10.10</w:t>
        </w:r>
      </w:hyperlink>
      <w:r>
        <w:rPr>
          <w:sz w:val="20"/>
        </w:rPr>
        <w:t xml:space="preserve">, </w:t>
      </w:r>
      <w:hyperlink w:history="0" r:id="rId134"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11.7</w:t>
        </w:r>
      </w:hyperlink>
      <w:r>
        <w:rPr>
          <w:sz w:val="20"/>
        </w:rPr>
        <w:t xml:space="preserve">, </w:t>
      </w:r>
      <w:hyperlink w:history="0" r:id="rId135"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11.8</w:t>
        </w:r>
      </w:hyperlink>
      <w:r>
        <w:rPr>
          <w:sz w:val="20"/>
        </w:rPr>
        <w:t xml:space="preserve">, </w:t>
      </w:r>
      <w:hyperlink w:history="0" r:id="rId136"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11.13</w:t>
        </w:r>
      </w:hyperlink>
      <w:r>
        <w:rPr>
          <w:sz w:val="20"/>
        </w:rPr>
        <w:t xml:space="preserve">, </w:t>
      </w:r>
      <w:hyperlink w:history="0" r:id="rId137"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11.16</w:t>
        </w:r>
      </w:hyperlink>
      <w:r>
        <w:rPr>
          <w:sz w:val="20"/>
        </w:rPr>
        <w:t xml:space="preserve">, </w:t>
      </w:r>
      <w:hyperlink w:history="0" r:id="rId138"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11.31</w:t>
        </w:r>
      </w:hyperlink>
      <w:r>
        <w:rPr>
          <w:sz w:val="20"/>
        </w:rPr>
        <w:t xml:space="preserve">, </w:t>
      </w:r>
      <w:hyperlink w:history="0" r:id="rId139"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14.1.2</w:t>
        </w:r>
      </w:hyperlink>
      <w:r>
        <w:rPr>
          <w:sz w:val="20"/>
        </w:rPr>
        <w:t xml:space="preserve">, </w:t>
      </w:r>
      <w:hyperlink w:history="0" r:id="rId140"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14.43</w:t>
        </w:r>
      </w:hyperlink>
      <w:r>
        <w:rPr>
          <w:sz w:val="20"/>
        </w:rPr>
        <w:t xml:space="preserve">, </w:t>
      </w:r>
      <w:hyperlink w:history="0" r:id="rId141"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19.5</w:t>
        </w:r>
      </w:hyperlink>
      <w:r>
        <w:rPr>
          <w:sz w:val="20"/>
        </w:rPr>
        <w:t xml:space="preserve">, </w:t>
      </w:r>
      <w:hyperlink w:history="0" r:id="rId14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19.7</w:t>
        </w:r>
      </w:hyperlink>
      <w:r>
        <w:rPr>
          <w:sz w:val="20"/>
        </w:rPr>
        <w:t xml:space="preserve"> Кодекса Российской Федерации об административных правонарушениях (за исключением административного наказания в виде предупреждения).</w:t>
      </w:r>
    </w:p>
    <w:p>
      <w:pPr>
        <w:pStyle w:val="0"/>
        <w:spacing w:before="200" w:lineRule="auto"/>
        <w:ind w:firstLine="540"/>
        <w:jc w:val="both"/>
      </w:pPr>
      <w:r>
        <w:rPr>
          <w:sz w:val="20"/>
        </w:rPr>
        <w:t xml:space="preserve">9. К группе вероятности "2"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от 6 до 10 решений (постановлений) о назначении административного наказания за правонарушения, предусмотренные </w:t>
      </w:r>
      <w:hyperlink w:history="0" r:id="rId14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статьями 7.7</w:t>
        </w:r>
      </w:hyperlink>
      <w:r>
        <w:rPr>
          <w:sz w:val="20"/>
        </w:rPr>
        <w:t xml:space="preserve">, </w:t>
      </w:r>
      <w:hyperlink w:history="0" r:id="rId144"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9.2</w:t>
        </w:r>
      </w:hyperlink>
      <w:r>
        <w:rPr>
          <w:sz w:val="20"/>
        </w:rPr>
        <w:t xml:space="preserve">, </w:t>
      </w:r>
      <w:hyperlink w:history="0" r:id="rId145"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10.10</w:t>
        </w:r>
      </w:hyperlink>
      <w:r>
        <w:rPr>
          <w:sz w:val="20"/>
        </w:rPr>
        <w:t xml:space="preserve">, </w:t>
      </w:r>
      <w:hyperlink w:history="0" r:id="rId146"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11.7</w:t>
        </w:r>
      </w:hyperlink>
      <w:r>
        <w:rPr>
          <w:sz w:val="20"/>
        </w:rPr>
        <w:t xml:space="preserve">, </w:t>
      </w:r>
      <w:hyperlink w:history="0" r:id="rId147"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11.8</w:t>
        </w:r>
      </w:hyperlink>
      <w:r>
        <w:rPr>
          <w:sz w:val="20"/>
        </w:rPr>
        <w:t xml:space="preserve">, </w:t>
      </w:r>
      <w:hyperlink w:history="0" r:id="rId148"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11.13</w:t>
        </w:r>
      </w:hyperlink>
      <w:r>
        <w:rPr>
          <w:sz w:val="20"/>
        </w:rPr>
        <w:t xml:space="preserve">, </w:t>
      </w:r>
      <w:hyperlink w:history="0" r:id="rId149"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11.16</w:t>
        </w:r>
      </w:hyperlink>
      <w:r>
        <w:rPr>
          <w:sz w:val="20"/>
        </w:rPr>
        <w:t xml:space="preserve">, </w:t>
      </w:r>
      <w:hyperlink w:history="0" r:id="rId150"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11.31</w:t>
        </w:r>
      </w:hyperlink>
      <w:r>
        <w:rPr>
          <w:sz w:val="20"/>
        </w:rPr>
        <w:t xml:space="preserve">, </w:t>
      </w:r>
      <w:hyperlink w:history="0" r:id="rId151"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14.1.2</w:t>
        </w:r>
      </w:hyperlink>
      <w:r>
        <w:rPr>
          <w:sz w:val="20"/>
        </w:rPr>
        <w:t xml:space="preserve">, </w:t>
      </w:r>
      <w:hyperlink w:history="0" r:id="rId15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14.43</w:t>
        </w:r>
      </w:hyperlink>
      <w:r>
        <w:rPr>
          <w:sz w:val="20"/>
        </w:rPr>
        <w:t xml:space="preserve">, </w:t>
      </w:r>
      <w:hyperlink w:history="0" r:id="rId15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19.5</w:t>
        </w:r>
      </w:hyperlink>
      <w:r>
        <w:rPr>
          <w:sz w:val="20"/>
        </w:rPr>
        <w:t xml:space="preserve">, </w:t>
      </w:r>
      <w:hyperlink w:history="0" r:id="rId154"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19.7</w:t>
        </w:r>
      </w:hyperlink>
      <w:r>
        <w:rPr>
          <w:sz w:val="20"/>
        </w:rPr>
        <w:t xml:space="preserve"> Кодекса Российской Федерации об административных правонарушениях (за исключением административного наказания в виде предупреждения).</w:t>
      </w:r>
    </w:p>
    <w:bookmarkStart w:id="485" w:name="P485"/>
    <w:bookmarkEnd w:id="485"/>
    <w:p>
      <w:pPr>
        <w:pStyle w:val="0"/>
        <w:spacing w:before="200" w:lineRule="auto"/>
        <w:ind w:firstLine="540"/>
        <w:jc w:val="both"/>
      </w:pPr>
      <w:r>
        <w:rPr>
          <w:sz w:val="20"/>
        </w:rPr>
        <w:t xml:space="preserve">10. К группе вероятности "3"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от 1 до 5 решений (постановлений) о назначении административного наказания за правонарушения, предусмотренные </w:t>
      </w:r>
      <w:hyperlink w:history="0" r:id="rId155"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статьями 7.7</w:t>
        </w:r>
      </w:hyperlink>
      <w:r>
        <w:rPr>
          <w:sz w:val="20"/>
        </w:rPr>
        <w:t xml:space="preserve">, </w:t>
      </w:r>
      <w:hyperlink w:history="0" r:id="rId156"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9.2</w:t>
        </w:r>
      </w:hyperlink>
      <w:r>
        <w:rPr>
          <w:sz w:val="20"/>
        </w:rPr>
        <w:t xml:space="preserve">, </w:t>
      </w:r>
      <w:hyperlink w:history="0" r:id="rId157"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10.10</w:t>
        </w:r>
      </w:hyperlink>
      <w:r>
        <w:rPr>
          <w:sz w:val="20"/>
        </w:rPr>
        <w:t xml:space="preserve">, </w:t>
      </w:r>
      <w:hyperlink w:history="0" r:id="rId158"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11.7</w:t>
        </w:r>
      </w:hyperlink>
      <w:r>
        <w:rPr>
          <w:sz w:val="20"/>
        </w:rPr>
        <w:t xml:space="preserve">, </w:t>
      </w:r>
      <w:hyperlink w:history="0" r:id="rId159"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11.8</w:t>
        </w:r>
      </w:hyperlink>
      <w:r>
        <w:rPr>
          <w:sz w:val="20"/>
        </w:rPr>
        <w:t xml:space="preserve">, </w:t>
      </w:r>
      <w:hyperlink w:history="0" r:id="rId160"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11.13</w:t>
        </w:r>
      </w:hyperlink>
      <w:r>
        <w:rPr>
          <w:sz w:val="20"/>
        </w:rPr>
        <w:t xml:space="preserve">, </w:t>
      </w:r>
      <w:hyperlink w:history="0" r:id="rId161"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11.16</w:t>
        </w:r>
      </w:hyperlink>
      <w:r>
        <w:rPr>
          <w:sz w:val="20"/>
        </w:rPr>
        <w:t xml:space="preserve">, </w:t>
      </w:r>
      <w:hyperlink w:history="0" r:id="rId16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11.31</w:t>
        </w:r>
      </w:hyperlink>
      <w:r>
        <w:rPr>
          <w:sz w:val="20"/>
        </w:rPr>
        <w:t xml:space="preserve">, </w:t>
      </w:r>
      <w:hyperlink w:history="0" r:id="rId163"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14.1.2</w:t>
        </w:r>
      </w:hyperlink>
      <w:r>
        <w:rPr>
          <w:sz w:val="20"/>
        </w:rPr>
        <w:t xml:space="preserve">, </w:t>
      </w:r>
      <w:hyperlink w:history="0" r:id="rId164"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14.43</w:t>
        </w:r>
      </w:hyperlink>
      <w:r>
        <w:rPr>
          <w:sz w:val="20"/>
        </w:rPr>
        <w:t xml:space="preserve">, </w:t>
      </w:r>
      <w:hyperlink w:history="0" r:id="rId165"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19.5</w:t>
        </w:r>
      </w:hyperlink>
      <w:r>
        <w:rPr>
          <w:sz w:val="20"/>
        </w:rPr>
        <w:t xml:space="preserve">, </w:t>
      </w:r>
      <w:hyperlink w:history="0" r:id="rId166"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19.7</w:t>
        </w:r>
      </w:hyperlink>
      <w:r>
        <w:rPr>
          <w:sz w:val="20"/>
        </w:rPr>
        <w:t xml:space="preserve"> Кодекса Российской Федерации об административных правонарушениях (за исключением административного наказания в виде предупреждения).</w:t>
      </w:r>
    </w:p>
    <w:p>
      <w:pPr>
        <w:pStyle w:val="0"/>
        <w:spacing w:before="200" w:lineRule="auto"/>
        <w:ind w:firstLine="540"/>
        <w:jc w:val="both"/>
      </w:pPr>
      <w:r>
        <w:rPr>
          <w:sz w:val="20"/>
        </w:rPr>
        <w:t xml:space="preserve">11. К группе вероятности "4" относится деятельность контролируемых лиц при отсутствии обстоятельств, указанных в </w:t>
      </w:r>
      <w:hyperlink w:history="0" w:anchor="P483" w:tooltip="8. К группе вероятности &quot;1&quot;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более 10 решений (постановлений) о назначении административного наказания за правонарушения, предусмотренные статьями 7.7, 9.2, 10.10, 11.7, 11.8, 11.13, 11.16, 11.31, 14.1.2, 14.43, 19.5, 19.7 Кодекса Российской Федерации об административных правонарушениях (з...">
        <w:r>
          <w:rPr>
            <w:sz w:val="20"/>
            <w:color w:val="0000ff"/>
          </w:rPr>
          <w:t xml:space="preserve">пунктах 8</w:t>
        </w:r>
      </w:hyperlink>
      <w:r>
        <w:rPr>
          <w:sz w:val="20"/>
        </w:rPr>
        <w:t xml:space="preserve"> - </w:t>
      </w:r>
      <w:hyperlink w:history="0" w:anchor="P485" w:tooltip="10. К группе вероятности &quot;3&quot; относится деятельность контролируемых лиц,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от 1 до 5 решений (постановлений) о назначении административного наказания за правонарушения, предусмотренные статьями 7.7, 9.2, 10.10, 11.7, 11.8, 11.13, 11.16, 11.31, 14.1.2, 14.43, 19.5, 19.7 Кодекса Российской Федерации об административных правонарушениях ...">
        <w:r>
          <w:rPr>
            <w:sz w:val="20"/>
            <w:color w:val="0000ff"/>
          </w:rPr>
          <w:t xml:space="preserve">10</w:t>
        </w:r>
      </w:hyperlink>
      <w:r>
        <w:rPr>
          <w:sz w:val="20"/>
        </w:rPr>
        <w:t xml:space="preserve"> настоящего приложения.</w:t>
      </w:r>
    </w:p>
    <w:p>
      <w:pPr>
        <w:pStyle w:val="0"/>
        <w:spacing w:before="200" w:lineRule="auto"/>
        <w:ind w:firstLine="540"/>
        <w:jc w:val="both"/>
      </w:pPr>
      <w:r>
        <w:rPr>
          <w:sz w:val="20"/>
        </w:rPr>
        <w:t xml:space="preserve">12. При наличии критериев, позволяющих отнести деятельность контролируемого лица к различным группам вероятности, подлежит применению критерий, позволяющий отнести деятельность контролируемого лица к более высокой категории риска.</w:t>
      </w:r>
    </w:p>
    <w:p>
      <w:pPr>
        <w:pStyle w:val="0"/>
        <w:spacing w:before="200" w:lineRule="auto"/>
        <w:ind w:firstLine="540"/>
        <w:jc w:val="both"/>
      </w:pPr>
      <w:r>
        <w:rPr>
          <w:sz w:val="20"/>
        </w:rPr>
        <w:t xml:space="preserve">13. Отнесение деятельности контролируемого лица к определенной категории риска основывается на соотнесении группы тяжести и группы вероятности согласно таблице:</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649"/>
        <w:gridCol w:w="1984"/>
        <w:gridCol w:w="2438"/>
      </w:tblGrid>
      <w:tr>
        <w:tblPrEx>
          <w:tblBorders>
            <w:insideV w:val="single" w:sz="4"/>
            <w:insideH w:val="single" w:sz="4"/>
          </w:tblBorders>
        </w:tblPrEx>
        <w:tc>
          <w:tcPr>
            <w:tcW w:w="4649" w:type="dxa"/>
            <w:tcBorders>
              <w:top w:val="single" w:sz="4"/>
              <w:left w:val="nil"/>
              <w:bottom w:val="single" w:sz="4"/>
            </w:tcBorders>
          </w:tcPr>
          <w:p>
            <w:pPr>
              <w:pStyle w:val="0"/>
              <w:jc w:val="center"/>
            </w:pPr>
            <w:r>
              <w:rPr>
                <w:sz w:val="20"/>
              </w:rPr>
              <w:t xml:space="preserve">Категория риска</w:t>
            </w:r>
          </w:p>
        </w:tc>
        <w:tc>
          <w:tcPr>
            <w:tcW w:w="1984" w:type="dxa"/>
            <w:tcBorders>
              <w:top w:val="single" w:sz="4"/>
              <w:bottom w:val="single" w:sz="4"/>
            </w:tcBorders>
          </w:tcPr>
          <w:p>
            <w:pPr>
              <w:pStyle w:val="0"/>
              <w:jc w:val="center"/>
            </w:pPr>
            <w:r>
              <w:rPr>
                <w:sz w:val="20"/>
              </w:rPr>
              <w:t xml:space="preserve">Группа тяжести</w:t>
            </w:r>
          </w:p>
        </w:tc>
        <w:tc>
          <w:tcPr>
            <w:tcW w:w="2438" w:type="dxa"/>
            <w:tcBorders>
              <w:top w:val="single" w:sz="4"/>
              <w:bottom w:val="single" w:sz="4"/>
              <w:right w:val="nil"/>
            </w:tcBorders>
          </w:tcPr>
          <w:p>
            <w:pPr>
              <w:pStyle w:val="0"/>
              <w:jc w:val="center"/>
            </w:pPr>
            <w:r>
              <w:rPr>
                <w:sz w:val="20"/>
              </w:rPr>
              <w:t xml:space="preserve">Группа вероятности</w:t>
            </w:r>
          </w:p>
        </w:tc>
      </w:tr>
      <w:tr>
        <w:tblPrEx>
          <w:tblBorders>
            <w:insideH w:val="single" w:sz="4"/>
          </w:tblBorders>
        </w:tblPrEx>
        <w:tc>
          <w:tcPr>
            <w:tcW w:w="4649" w:type="dxa"/>
            <w:tcBorders>
              <w:top w:val="single" w:sz="4"/>
              <w:left w:val="nil"/>
              <w:bottom w:val="nil"/>
              <w:right w:val="nil"/>
            </w:tcBorders>
            <w:vMerge w:val="restart"/>
          </w:tcPr>
          <w:p>
            <w:pPr>
              <w:pStyle w:val="0"/>
            </w:pPr>
            <w:r>
              <w:rPr>
                <w:sz w:val="20"/>
              </w:rPr>
              <w:t xml:space="preserve">Высокий риск</w:t>
            </w:r>
          </w:p>
        </w:tc>
        <w:tc>
          <w:tcPr>
            <w:tcW w:w="1984" w:type="dxa"/>
            <w:tcBorders>
              <w:top w:val="single" w:sz="4"/>
              <w:left w:val="nil"/>
              <w:bottom w:val="nil"/>
              <w:right w:val="nil"/>
            </w:tcBorders>
          </w:tcPr>
          <w:p>
            <w:pPr>
              <w:pStyle w:val="0"/>
              <w:jc w:val="center"/>
            </w:pPr>
            <w:r>
              <w:rPr>
                <w:sz w:val="20"/>
              </w:rPr>
              <w:t xml:space="preserve">А</w:t>
            </w:r>
          </w:p>
        </w:tc>
        <w:tc>
          <w:tcPr>
            <w:tcW w:w="2438" w:type="dxa"/>
            <w:tcBorders>
              <w:top w:val="single" w:sz="4"/>
              <w:left w:val="nil"/>
              <w:bottom w:val="nil"/>
              <w:right w:val="nil"/>
            </w:tcBorders>
          </w:tcPr>
          <w:p>
            <w:pPr>
              <w:pStyle w:val="0"/>
              <w:jc w:val="center"/>
            </w:pPr>
            <w:r>
              <w:rPr>
                <w:sz w:val="20"/>
              </w:rPr>
              <w:t xml:space="preserve">1</w:t>
            </w:r>
          </w:p>
        </w:tc>
      </w:tr>
      <w:tr>
        <w:tc>
          <w:tcPr>
            <w:tcBorders>
              <w:top w:val="single" w:sz="4"/>
              <w:left w:val="nil"/>
              <w:bottom w:val="nil"/>
              <w:right w:val="nil"/>
            </w:tcBorders>
            <w:vMerge w:val="continue"/>
          </w:tcPr>
          <w:p/>
        </w:tc>
        <w:tc>
          <w:tcPr>
            <w:tcW w:w="1984" w:type="dxa"/>
            <w:tcBorders>
              <w:top w:val="nil"/>
              <w:left w:val="nil"/>
              <w:bottom w:val="nil"/>
              <w:right w:val="nil"/>
            </w:tcBorders>
          </w:tcPr>
          <w:p>
            <w:pPr>
              <w:pStyle w:val="0"/>
              <w:jc w:val="center"/>
            </w:pPr>
            <w:r>
              <w:rPr>
                <w:sz w:val="20"/>
              </w:rPr>
              <w:t xml:space="preserve">Б</w:t>
            </w:r>
          </w:p>
        </w:tc>
        <w:tc>
          <w:tcPr>
            <w:tcW w:w="2438" w:type="dxa"/>
            <w:tcBorders>
              <w:top w:val="nil"/>
              <w:left w:val="nil"/>
              <w:bottom w:val="nil"/>
              <w:right w:val="nil"/>
            </w:tcBorders>
          </w:tcPr>
          <w:p>
            <w:pPr>
              <w:pStyle w:val="0"/>
              <w:jc w:val="center"/>
            </w:pPr>
            <w:r>
              <w:rPr>
                <w:sz w:val="20"/>
              </w:rPr>
              <w:t xml:space="preserve">1</w:t>
            </w:r>
          </w:p>
        </w:tc>
      </w:tr>
      <w:tr>
        <w:tc>
          <w:tcPr>
            <w:tcW w:w="4649" w:type="dxa"/>
            <w:tcBorders>
              <w:top w:val="nil"/>
              <w:left w:val="nil"/>
              <w:bottom w:val="nil"/>
              <w:right w:val="nil"/>
            </w:tcBorders>
            <w:vMerge w:val="restart"/>
          </w:tcPr>
          <w:p>
            <w:pPr>
              <w:pStyle w:val="0"/>
            </w:pPr>
            <w:r>
              <w:rPr>
                <w:sz w:val="20"/>
              </w:rPr>
              <w:t xml:space="preserve">Значительный риск</w:t>
            </w:r>
          </w:p>
        </w:tc>
        <w:tc>
          <w:tcPr>
            <w:tcW w:w="1984" w:type="dxa"/>
            <w:tcBorders>
              <w:top w:val="nil"/>
              <w:left w:val="nil"/>
              <w:bottom w:val="nil"/>
              <w:right w:val="nil"/>
            </w:tcBorders>
          </w:tcPr>
          <w:p>
            <w:pPr>
              <w:pStyle w:val="0"/>
              <w:jc w:val="center"/>
            </w:pPr>
            <w:r>
              <w:rPr>
                <w:sz w:val="20"/>
              </w:rPr>
              <w:t xml:space="preserve">А</w:t>
            </w:r>
          </w:p>
        </w:tc>
        <w:tc>
          <w:tcPr>
            <w:tcW w:w="2438" w:type="dxa"/>
            <w:tcBorders>
              <w:top w:val="nil"/>
              <w:left w:val="nil"/>
              <w:bottom w:val="nil"/>
              <w:right w:val="nil"/>
            </w:tcBorders>
          </w:tcPr>
          <w:p>
            <w:pPr>
              <w:pStyle w:val="0"/>
              <w:jc w:val="center"/>
            </w:pPr>
            <w:r>
              <w:rPr>
                <w:sz w:val="20"/>
              </w:rPr>
              <w:t xml:space="preserve">2</w:t>
            </w:r>
          </w:p>
        </w:tc>
      </w:tr>
      <w:tr>
        <w:tc>
          <w:tcPr>
            <w:tcBorders>
              <w:top w:val="nil"/>
              <w:left w:val="nil"/>
              <w:bottom w:val="nil"/>
              <w:right w:val="nil"/>
            </w:tcBorders>
            <w:vMerge w:val="continue"/>
          </w:tcPr>
          <w:p/>
        </w:tc>
        <w:tc>
          <w:tcPr>
            <w:tcW w:w="1984" w:type="dxa"/>
            <w:tcBorders>
              <w:top w:val="nil"/>
              <w:left w:val="nil"/>
              <w:bottom w:val="nil"/>
              <w:right w:val="nil"/>
            </w:tcBorders>
          </w:tcPr>
          <w:p>
            <w:pPr>
              <w:pStyle w:val="0"/>
              <w:jc w:val="center"/>
            </w:pPr>
            <w:r>
              <w:rPr>
                <w:sz w:val="20"/>
              </w:rPr>
              <w:t xml:space="preserve">Б</w:t>
            </w:r>
          </w:p>
        </w:tc>
        <w:tc>
          <w:tcPr>
            <w:tcW w:w="2438" w:type="dxa"/>
            <w:tcBorders>
              <w:top w:val="nil"/>
              <w:left w:val="nil"/>
              <w:bottom w:val="nil"/>
              <w:right w:val="nil"/>
            </w:tcBorders>
          </w:tcPr>
          <w:p>
            <w:pPr>
              <w:pStyle w:val="0"/>
              <w:jc w:val="center"/>
            </w:pPr>
            <w:r>
              <w:rPr>
                <w:sz w:val="20"/>
              </w:rPr>
              <w:t xml:space="preserve">2</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В</w:t>
            </w:r>
          </w:p>
        </w:tc>
        <w:tc>
          <w:tcPr>
            <w:tcW w:w="2438" w:type="dxa"/>
            <w:tcBorders>
              <w:top w:val="nil"/>
              <w:left w:val="nil"/>
              <w:bottom w:val="nil"/>
              <w:right w:val="nil"/>
            </w:tcBorders>
          </w:tcPr>
          <w:p>
            <w:pPr>
              <w:pStyle w:val="0"/>
              <w:jc w:val="center"/>
            </w:pPr>
            <w:r>
              <w:rPr>
                <w:sz w:val="20"/>
              </w:rPr>
              <w:t xml:space="preserve">1</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В</w:t>
            </w:r>
          </w:p>
        </w:tc>
        <w:tc>
          <w:tcPr>
            <w:tcW w:w="2438" w:type="dxa"/>
            <w:tcBorders>
              <w:top w:val="nil"/>
              <w:left w:val="nil"/>
              <w:bottom w:val="nil"/>
              <w:right w:val="nil"/>
            </w:tcBorders>
          </w:tcPr>
          <w:p>
            <w:pPr>
              <w:pStyle w:val="0"/>
              <w:jc w:val="center"/>
            </w:pPr>
            <w:r>
              <w:rPr>
                <w:sz w:val="20"/>
              </w:rPr>
              <w:t xml:space="preserve">2</w:t>
            </w:r>
          </w:p>
        </w:tc>
      </w:tr>
      <w:tr>
        <w:tc>
          <w:tcPr>
            <w:tcW w:w="4649" w:type="dxa"/>
            <w:tcBorders>
              <w:top w:val="nil"/>
              <w:left w:val="nil"/>
              <w:bottom w:val="nil"/>
              <w:right w:val="nil"/>
            </w:tcBorders>
          </w:tcPr>
          <w:p>
            <w:pPr>
              <w:pStyle w:val="0"/>
            </w:pPr>
            <w:r>
              <w:rPr>
                <w:sz w:val="20"/>
              </w:rPr>
              <w:t xml:space="preserve">Средний риск</w:t>
            </w:r>
          </w:p>
        </w:tc>
        <w:tc>
          <w:tcPr>
            <w:tcW w:w="1984" w:type="dxa"/>
            <w:tcBorders>
              <w:top w:val="nil"/>
              <w:left w:val="nil"/>
              <w:bottom w:val="nil"/>
              <w:right w:val="nil"/>
            </w:tcBorders>
          </w:tcPr>
          <w:p>
            <w:pPr>
              <w:pStyle w:val="0"/>
              <w:jc w:val="center"/>
            </w:pPr>
            <w:r>
              <w:rPr>
                <w:sz w:val="20"/>
              </w:rPr>
              <w:t xml:space="preserve">А</w:t>
            </w:r>
          </w:p>
        </w:tc>
        <w:tc>
          <w:tcPr>
            <w:tcW w:w="2438" w:type="dxa"/>
            <w:tcBorders>
              <w:top w:val="nil"/>
              <w:left w:val="nil"/>
              <w:bottom w:val="nil"/>
              <w:right w:val="nil"/>
            </w:tcBorders>
          </w:tcPr>
          <w:p>
            <w:pPr>
              <w:pStyle w:val="0"/>
              <w:jc w:val="center"/>
            </w:pPr>
            <w:r>
              <w:rPr>
                <w:sz w:val="20"/>
              </w:rPr>
              <w:t xml:space="preserve">3</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А</w:t>
            </w:r>
          </w:p>
        </w:tc>
        <w:tc>
          <w:tcPr>
            <w:tcW w:w="2438" w:type="dxa"/>
            <w:tcBorders>
              <w:top w:val="nil"/>
              <w:left w:val="nil"/>
              <w:bottom w:val="nil"/>
              <w:right w:val="nil"/>
            </w:tcBorders>
          </w:tcPr>
          <w:p>
            <w:pPr>
              <w:pStyle w:val="0"/>
              <w:jc w:val="center"/>
            </w:pPr>
            <w:r>
              <w:rPr>
                <w:sz w:val="20"/>
              </w:rPr>
              <w:t xml:space="preserve">4</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Б</w:t>
            </w:r>
          </w:p>
        </w:tc>
        <w:tc>
          <w:tcPr>
            <w:tcW w:w="2438" w:type="dxa"/>
            <w:tcBorders>
              <w:top w:val="nil"/>
              <w:left w:val="nil"/>
              <w:bottom w:val="nil"/>
              <w:right w:val="nil"/>
            </w:tcBorders>
          </w:tcPr>
          <w:p>
            <w:pPr>
              <w:pStyle w:val="0"/>
              <w:jc w:val="center"/>
            </w:pPr>
            <w:r>
              <w:rPr>
                <w:sz w:val="20"/>
              </w:rPr>
              <w:t xml:space="preserve">3</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В</w:t>
            </w:r>
          </w:p>
        </w:tc>
        <w:tc>
          <w:tcPr>
            <w:tcW w:w="2438" w:type="dxa"/>
            <w:tcBorders>
              <w:top w:val="nil"/>
              <w:left w:val="nil"/>
              <w:bottom w:val="nil"/>
              <w:right w:val="nil"/>
            </w:tcBorders>
          </w:tcPr>
          <w:p>
            <w:pPr>
              <w:pStyle w:val="0"/>
              <w:jc w:val="center"/>
            </w:pPr>
            <w:r>
              <w:rPr>
                <w:sz w:val="20"/>
              </w:rPr>
              <w:t xml:space="preserve">3</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Г</w:t>
            </w:r>
          </w:p>
        </w:tc>
        <w:tc>
          <w:tcPr>
            <w:tcW w:w="2438" w:type="dxa"/>
            <w:tcBorders>
              <w:top w:val="nil"/>
              <w:left w:val="nil"/>
              <w:bottom w:val="nil"/>
              <w:right w:val="nil"/>
            </w:tcBorders>
          </w:tcPr>
          <w:p>
            <w:pPr>
              <w:pStyle w:val="0"/>
              <w:jc w:val="center"/>
            </w:pPr>
            <w:r>
              <w:rPr>
                <w:sz w:val="20"/>
              </w:rPr>
              <w:t xml:space="preserve">1</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Г</w:t>
            </w:r>
          </w:p>
        </w:tc>
        <w:tc>
          <w:tcPr>
            <w:tcW w:w="2438" w:type="dxa"/>
            <w:tcBorders>
              <w:top w:val="nil"/>
              <w:left w:val="nil"/>
              <w:bottom w:val="nil"/>
              <w:right w:val="nil"/>
            </w:tcBorders>
          </w:tcPr>
          <w:p>
            <w:pPr>
              <w:pStyle w:val="0"/>
              <w:jc w:val="center"/>
            </w:pPr>
            <w:r>
              <w:rPr>
                <w:sz w:val="20"/>
              </w:rPr>
              <w:t xml:space="preserve">2</w:t>
            </w:r>
          </w:p>
        </w:tc>
      </w:tr>
      <w:tr>
        <w:tc>
          <w:tcPr>
            <w:tcW w:w="4649" w:type="dxa"/>
            <w:tcBorders>
              <w:top w:val="nil"/>
              <w:left w:val="nil"/>
              <w:bottom w:val="nil"/>
              <w:right w:val="nil"/>
            </w:tcBorders>
          </w:tcPr>
          <w:p>
            <w:pPr>
              <w:pStyle w:val="0"/>
            </w:pPr>
            <w:r>
              <w:rPr>
                <w:sz w:val="20"/>
              </w:rPr>
              <w:t xml:space="preserve">Низкий риск</w:t>
            </w:r>
          </w:p>
        </w:tc>
        <w:tc>
          <w:tcPr>
            <w:tcW w:w="1984" w:type="dxa"/>
            <w:tcBorders>
              <w:top w:val="nil"/>
              <w:left w:val="nil"/>
              <w:bottom w:val="nil"/>
              <w:right w:val="nil"/>
            </w:tcBorders>
          </w:tcPr>
          <w:p>
            <w:pPr>
              <w:pStyle w:val="0"/>
              <w:jc w:val="center"/>
            </w:pPr>
            <w:r>
              <w:rPr>
                <w:sz w:val="20"/>
              </w:rPr>
              <w:t xml:space="preserve">Б</w:t>
            </w:r>
          </w:p>
        </w:tc>
        <w:tc>
          <w:tcPr>
            <w:tcW w:w="2438" w:type="dxa"/>
            <w:tcBorders>
              <w:top w:val="nil"/>
              <w:left w:val="nil"/>
              <w:bottom w:val="nil"/>
              <w:right w:val="nil"/>
            </w:tcBorders>
          </w:tcPr>
          <w:p>
            <w:pPr>
              <w:pStyle w:val="0"/>
              <w:jc w:val="center"/>
            </w:pPr>
            <w:r>
              <w:rPr>
                <w:sz w:val="20"/>
              </w:rPr>
              <w:t xml:space="preserve">4</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В</w:t>
            </w:r>
          </w:p>
        </w:tc>
        <w:tc>
          <w:tcPr>
            <w:tcW w:w="2438" w:type="dxa"/>
            <w:tcBorders>
              <w:top w:val="nil"/>
              <w:left w:val="nil"/>
              <w:bottom w:val="nil"/>
              <w:right w:val="nil"/>
            </w:tcBorders>
          </w:tcPr>
          <w:p>
            <w:pPr>
              <w:pStyle w:val="0"/>
              <w:jc w:val="center"/>
            </w:pPr>
            <w:r>
              <w:rPr>
                <w:sz w:val="20"/>
              </w:rPr>
              <w:t xml:space="preserve">4</w:t>
            </w:r>
          </w:p>
        </w:tc>
      </w:tr>
      <w:tr>
        <w:tc>
          <w:tcPr>
            <w:tcW w:w="4649" w:type="dxa"/>
            <w:tcBorders>
              <w:top w:val="nil"/>
              <w:left w:val="nil"/>
              <w:bottom w:val="nil"/>
              <w:right w:val="nil"/>
            </w:tcBorders>
          </w:tcPr>
          <w:p>
            <w:pPr>
              <w:pStyle w:val="0"/>
            </w:pPr>
            <w:r>
              <w:rPr>
                <w:sz w:val="20"/>
              </w:rPr>
            </w:r>
          </w:p>
        </w:tc>
        <w:tc>
          <w:tcPr>
            <w:tcW w:w="1984" w:type="dxa"/>
            <w:tcBorders>
              <w:top w:val="nil"/>
              <w:left w:val="nil"/>
              <w:bottom w:val="nil"/>
              <w:right w:val="nil"/>
            </w:tcBorders>
          </w:tcPr>
          <w:p>
            <w:pPr>
              <w:pStyle w:val="0"/>
              <w:jc w:val="center"/>
            </w:pPr>
            <w:r>
              <w:rPr>
                <w:sz w:val="20"/>
              </w:rPr>
              <w:t xml:space="preserve">Г</w:t>
            </w:r>
          </w:p>
        </w:tc>
        <w:tc>
          <w:tcPr>
            <w:tcW w:w="2438" w:type="dxa"/>
            <w:tcBorders>
              <w:top w:val="nil"/>
              <w:left w:val="nil"/>
              <w:bottom w:val="nil"/>
              <w:right w:val="nil"/>
            </w:tcBorders>
          </w:tcPr>
          <w:p>
            <w:pPr>
              <w:pStyle w:val="0"/>
              <w:jc w:val="center"/>
            </w:pPr>
            <w:r>
              <w:rPr>
                <w:sz w:val="20"/>
              </w:rPr>
              <w:t xml:space="preserve">3</w:t>
            </w:r>
          </w:p>
        </w:tc>
      </w:tr>
      <w:tr>
        <w:tc>
          <w:tcPr>
            <w:tcW w:w="4649" w:type="dxa"/>
            <w:tcBorders>
              <w:top w:val="nil"/>
              <w:left w:val="nil"/>
              <w:bottom w:val="single" w:sz="4"/>
              <w:right w:val="nil"/>
            </w:tcBorders>
          </w:tcPr>
          <w:p>
            <w:pPr>
              <w:pStyle w:val="0"/>
            </w:pPr>
            <w:r>
              <w:rPr>
                <w:sz w:val="20"/>
              </w:rPr>
            </w:r>
          </w:p>
        </w:tc>
        <w:tc>
          <w:tcPr>
            <w:tcW w:w="1984" w:type="dxa"/>
            <w:tcBorders>
              <w:top w:val="nil"/>
              <w:left w:val="nil"/>
              <w:bottom w:val="single" w:sz="4"/>
              <w:right w:val="nil"/>
            </w:tcBorders>
          </w:tcPr>
          <w:p>
            <w:pPr>
              <w:pStyle w:val="0"/>
              <w:jc w:val="center"/>
            </w:pPr>
            <w:r>
              <w:rPr>
                <w:sz w:val="20"/>
              </w:rPr>
              <w:t xml:space="preserve">Г</w:t>
            </w:r>
          </w:p>
        </w:tc>
        <w:tc>
          <w:tcPr>
            <w:tcW w:w="2438" w:type="dxa"/>
            <w:tcBorders>
              <w:top w:val="nil"/>
              <w:left w:val="nil"/>
              <w:bottom w:val="single" w:sz="4"/>
              <w:right w:val="nil"/>
            </w:tcBorders>
          </w:tcPr>
          <w:p>
            <w:pPr>
              <w:pStyle w:val="0"/>
              <w:jc w:val="center"/>
            </w:pPr>
            <w:r>
              <w:rPr>
                <w:sz w:val="20"/>
              </w:rPr>
              <w:t xml:space="preserve">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федеральном</w:t>
      </w:r>
    </w:p>
    <w:p>
      <w:pPr>
        <w:pStyle w:val="0"/>
        <w:jc w:val="right"/>
      </w:pPr>
      <w:r>
        <w:rPr>
          <w:sz w:val="20"/>
        </w:rPr>
        <w:t xml:space="preserve">государственном контроле (надзоре)</w:t>
      </w:r>
    </w:p>
    <w:p>
      <w:pPr>
        <w:pStyle w:val="0"/>
        <w:jc w:val="right"/>
      </w:pPr>
      <w:r>
        <w:rPr>
          <w:sz w:val="20"/>
        </w:rPr>
        <w:t xml:space="preserve">в области торгового мореплавания</w:t>
      </w:r>
    </w:p>
    <w:p>
      <w:pPr>
        <w:pStyle w:val="0"/>
        <w:jc w:val="right"/>
      </w:pPr>
      <w:r>
        <w:rPr>
          <w:sz w:val="20"/>
        </w:rPr>
        <w:t xml:space="preserve">и внутреннего водного транспорта</w:t>
      </w:r>
    </w:p>
    <w:p>
      <w:pPr>
        <w:pStyle w:val="0"/>
        <w:jc w:val="both"/>
      </w:pPr>
      <w:r>
        <w:rPr>
          <w:sz w:val="20"/>
        </w:rPr>
      </w:r>
    </w:p>
    <w:bookmarkStart w:id="550" w:name="P550"/>
    <w:bookmarkEnd w:id="550"/>
    <w:p>
      <w:pPr>
        <w:pStyle w:val="2"/>
        <w:jc w:val="center"/>
      </w:pPr>
      <w:r>
        <w:rPr>
          <w:sz w:val="20"/>
        </w:rPr>
        <w:t xml:space="preserve">КРИТЕРИИ</w:t>
      </w:r>
    </w:p>
    <w:p>
      <w:pPr>
        <w:pStyle w:val="2"/>
        <w:jc w:val="center"/>
      </w:pPr>
      <w:r>
        <w:rPr>
          <w:sz w:val="20"/>
        </w:rPr>
        <w:t xml:space="preserve">ОТНЕСЕНИЯ ОБЪЕКТОВ ФЕДЕРАЛЬНОГО КОНТРОЛЯ СУДОХОДНЫХ</w:t>
      </w:r>
    </w:p>
    <w:p>
      <w:pPr>
        <w:pStyle w:val="2"/>
        <w:jc w:val="center"/>
      </w:pPr>
      <w:r>
        <w:rPr>
          <w:sz w:val="20"/>
        </w:rPr>
        <w:t xml:space="preserve">ГИДРОТЕХНИЧЕСКИХ СООРУЖЕНИЙ К ОПРЕДЕЛЕННОЙ КАТЕГОРИИ РИСКА</w:t>
      </w:r>
    </w:p>
    <w:p>
      <w:pPr>
        <w:pStyle w:val="0"/>
        <w:jc w:val="both"/>
      </w:pPr>
      <w:r>
        <w:rPr>
          <w:sz w:val="20"/>
        </w:rPr>
      </w:r>
    </w:p>
    <w:p>
      <w:pPr>
        <w:pStyle w:val="0"/>
        <w:ind w:firstLine="540"/>
        <w:jc w:val="both"/>
      </w:pPr>
      <w:r>
        <w:rPr>
          <w:sz w:val="20"/>
        </w:rPr>
        <w:t xml:space="preserve">Отнесение к категориям риска деятельности контролируемых лиц, эксплуатирующих судоходные гидротехнические сооружения, осуществляется с учетом класса судоходного гидротехнического сооружения, присвоенного в соответствии с критериями, утвержденными постановлением Правительства Российской Федерации от 5 октября 2020 г. N 1607 "Об утверждении критериев классификации гидротехнических сооружений".</w:t>
      </w:r>
    </w:p>
    <w:p>
      <w:pPr>
        <w:pStyle w:val="0"/>
        <w:spacing w:before="200" w:lineRule="auto"/>
        <w:ind w:firstLine="540"/>
        <w:jc w:val="both"/>
      </w:pPr>
      <w:r>
        <w:rPr>
          <w:sz w:val="20"/>
        </w:rPr>
        <w:t xml:space="preserve">Категории риска причинения вреда (ущерба) с учетом класса судоходного гидротехнического сооружения:</w:t>
      </w:r>
    </w:p>
    <w:p>
      <w:pPr>
        <w:pStyle w:val="0"/>
        <w:spacing w:before="200" w:lineRule="auto"/>
        <w:ind w:firstLine="540"/>
        <w:jc w:val="both"/>
      </w:pPr>
      <w:r>
        <w:rPr>
          <w:sz w:val="20"/>
        </w:rPr>
        <w:t xml:space="preserve">а) высокий риск - гидротехническое сооружение I класса;</w:t>
      </w:r>
    </w:p>
    <w:p>
      <w:pPr>
        <w:pStyle w:val="0"/>
        <w:spacing w:before="200" w:lineRule="auto"/>
        <w:ind w:firstLine="540"/>
        <w:jc w:val="both"/>
      </w:pPr>
      <w:r>
        <w:rPr>
          <w:sz w:val="20"/>
        </w:rPr>
        <w:t xml:space="preserve">б) значительный риск - гидротехническое сооружение II класса;</w:t>
      </w:r>
    </w:p>
    <w:p>
      <w:pPr>
        <w:pStyle w:val="0"/>
        <w:spacing w:before="200" w:lineRule="auto"/>
        <w:ind w:firstLine="540"/>
        <w:jc w:val="both"/>
      </w:pPr>
      <w:r>
        <w:rPr>
          <w:sz w:val="20"/>
        </w:rPr>
        <w:t xml:space="preserve">в) средний риск - гидротехническое сооружение III класса;</w:t>
      </w:r>
    </w:p>
    <w:p>
      <w:pPr>
        <w:pStyle w:val="0"/>
        <w:spacing w:before="200" w:lineRule="auto"/>
        <w:ind w:firstLine="540"/>
        <w:jc w:val="both"/>
      </w:pPr>
      <w:r>
        <w:rPr>
          <w:sz w:val="20"/>
        </w:rPr>
        <w:t xml:space="preserve">г) низкий риск - гидротехническое сооружение IV класса.</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федеральном</w:t>
      </w:r>
    </w:p>
    <w:p>
      <w:pPr>
        <w:pStyle w:val="0"/>
        <w:jc w:val="right"/>
      </w:pPr>
      <w:r>
        <w:rPr>
          <w:sz w:val="20"/>
        </w:rPr>
        <w:t xml:space="preserve">государственном контроле (надзоре)</w:t>
      </w:r>
    </w:p>
    <w:p>
      <w:pPr>
        <w:pStyle w:val="0"/>
        <w:jc w:val="right"/>
      </w:pPr>
      <w:r>
        <w:rPr>
          <w:sz w:val="20"/>
        </w:rPr>
        <w:t xml:space="preserve">в области торгового мореплавания</w:t>
      </w:r>
    </w:p>
    <w:p>
      <w:pPr>
        <w:pStyle w:val="0"/>
        <w:jc w:val="right"/>
      </w:pPr>
      <w:r>
        <w:rPr>
          <w:sz w:val="20"/>
        </w:rPr>
        <w:t xml:space="preserve">и внутреннего водного транспорта</w:t>
      </w:r>
    </w:p>
    <w:p>
      <w:pPr>
        <w:pStyle w:val="0"/>
        <w:jc w:val="both"/>
      </w:pPr>
      <w:r>
        <w:rPr>
          <w:sz w:val="20"/>
        </w:rPr>
      </w:r>
    </w:p>
    <w:p>
      <w:pPr>
        <w:pStyle w:val="2"/>
        <w:jc w:val="center"/>
      </w:pPr>
      <w:r>
        <w:rPr>
          <w:sz w:val="20"/>
        </w:rPr>
        <w:t xml:space="preserve">ПЕРИОДИЧНОСТЬ</w:t>
      </w:r>
    </w:p>
    <w:p>
      <w:pPr>
        <w:pStyle w:val="2"/>
        <w:jc w:val="center"/>
      </w:pPr>
      <w:r>
        <w:rPr>
          <w:sz w:val="20"/>
        </w:rPr>
        <w:t xml:space="preserve">ПРОВЕДЕНИЯ ПЛАНОВЫХ КОНТРОЛЬНЫХ (НАДЗОРНЫХ) МЕРОПРИЯТИЙ</w:t>
      </w:r>
    </w:p>
    <w:p>
      <w:pPr>
        <w:pStyle w:val="0"/>
        <w:jc w:val="center"/>
      </w:pPr>
      <w:r>
        <w:rPr>
          <w:sz w:val="20"/>
        </w:rPr>
      </w:r>
    </w:p>
    <w:p>
      <w:pPr>
        <w:pStyle w:val="0"/>
        <w:ind w:firstLine="540"/>
        <w:jc w:val="both"/>
      </w:pPr>
      <w:r>
        <w:rPr>
          <w:sz w:val="20"/>
        </w:rPr>
        <w:t xml:space="preserve">Утратила силу. - </w:t>
      </w:r>
      <w:hyperlink w:history="0" r:id="rId167" w:tooltip="Постановление Правительства РФ от 02.09.2025 N 135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02.09.2025 N 1354.</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федеральном</w:t>
      </w:r>
    </w:p>
    <w:p>
      <w:pPr>
        <w:pStyle w:val="0"/>
        <w:jc w:val="right"/>
      </w:pPr>
      <w:r>
        <w:rPr>
          <w:sz w:val="20"/>
        </w:rPr>
        <w:t xml:space="preserve">государственном контроле (надзоре)</w:t>
      </w:r>
    </w:p>
    <w:p>
      <w:pPr>
        <w:pStyle w:val="0"/>
        <w:jc w:val="right"/>
      </w:pPr>
      <w:r>
        <w:rPr>
          <w:sz w:val="20"/>
        </w:rPr>
        <w:t xml:space="preserve">в области торгового мореплавания</w:t>
      </w:r>
    </w:p>
    <w:p>
      <w:pPr>
        <w:pStyle w:val="0"/>
        <w:jc w:val="right"/>
      </w:pPr>
      <w:r>
        <w:rPr>
          <w:sz w:val="20"/>
        </w:rPr>
        <w:t xml:space="preserve">и внутреннего водного транспорта</w:t>
      </w:r>
    </w:p>
    <w:p>
      <w:pPr>
        <w:pStyle w:val="0"/>
        <w:jc w:val="both"/>
      </w:pPr>
      <w:r>
        <w:rPr>
          <w:sz w:val="20"/>
        </w:rPr>
      </w:r>
    </w:p>
    <w:bookmarkStart w:id="582" w:name="P582"/>
    <w:bookmarkEnd w:id="582"/>
    <w:p>
      <w:pPr>
        <w:pStyle w:val="2"/>
        <w:jc w:val="center"/>
      </w:pPr>
      <w:r>
        <w:rPr>
          <w:sz w:val="20"/>
        </w:rPr>
        <w:t xml:space="preserve">КЛЮЧЕВЫЕ ПОКАЗАТЕЛИ</w:t>
      </w:r>
    </w:p>
    <w:p>
      <w:pPr>
        <w:pStyle w:val="2"/>
        <w:jc w:val="center"/>
      </w:pPr>
      <w:r>
        <w:rPr>
          <w:sz w:val="20"/>
        </w:rPr>
        <w:t xml:space="preserve">ФЕДЕРАЛЬНОГО ГОСУДАРСТВЕННОГО КОНТРОЛЯ (НАДЗОРА) В ОБЛАСТИ</w:t>
      </w:r>
    </w:p>
    <w:p>
      <w:pPr>
        <w:pStyle w:val="2"/>
        <w:jc w:val="center"/>
      </w:pPr>
      <w:r>
        <w:rPr>
          <w:sz w:val="20"/>
        </w:rPr>
        <w:t xml:space="preserve">ТОРГОВОГО МОРЕПЛАВАНИЯ И ВНУТРЕННЕГО ВОДНОГО ТРАНСПОРТА</w:t>
      </w:r>
    </w:p>
    <w:p>
      <w:pPr>
        <w:pStyle w:val="2"/>
        <w:jc w:val="center"/>
      </w:pPr>
      <w:r>
        <w:rPr>
          <w:sz w:val="20"/>
        </w:rPr>
        <w:t xml:space="preserve">И ИХ ЦЕЛЕВЫЕ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68" w:tooltip="Постановление Правительства РФ от 30.11.2021 N 2112 &quot;О внесении изменений в постановление Правительства Российской Федерации от 29 июня 2021 г. N 1047&quot; {КонсультантПлюс}">
              <w:r>
                <w:rPr>
                  <w:sz w:val="20"/>
                  <w:color w:val="0000ff"/>
                </w:rPr>
                <w:t xml:space="preserve">Постановлением</w:t>
              </w:r>
            </w:hyperlink>
            <w:r>
              <w:rPr>
                <w:sz w:val="20"/>
                <w:color w:val="392c69"/>
              </w:rPr>
              <w:t xml:space="preserve"> Правительства РФ от 30.11.2021 N 2112)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480"/>
        <w:gridCol w:w="3969"/>
        <w:gridCol w:w="768"/>
        <w:gridCol w:w="768"/>
        <w:gridCol w:w="768"/>
        <w:gridCol w:w="768"/>
        <w:gridCol w:w="768"/>
        <w:gridCol w:w="770"/>
      </w:tblGrid>
      <w:tr>
        <w:tblPrEx>
          <w:tblBorders>
            <w:insideV w:val="single" w:sz="4"/>
            <w:insideH w:val="single" w:sz="4"/>
          </w:tblBorders>
        </w:tblPrEx>
        <w:tc>
          <w:tcPr>
            <w:gridSpan w:val="2"/>
            <w:tcW w:w="4449" w:type="dxa"/>
            <w:tcBorders>
              <w:top w:val="single" w:sz="4"/>
              <w:left w:val="nil"/>
              <w:bottom w:val="single" w:sz="4"/>
            </w:tcBorders>
            <w:vMerge w:val="restart"/>
          </w:tcPr>
          <w:p>
            <w:pPr>
              <w:pStyle w:val="0"/>
              <w:jc w:val="center"/>
            </w:pPr>
            <w:r>
              <w:rPr>
                <w:sz w:val="20"/>
              </w:rPr>
              <w:t xml:space="preserve">Наименование ключевого показателя</w:t>
            </w:r>
          </w:p>
        </w:tc>
        <w:tc>
          <w:tcPr>
            <w:gridSpan w:val="6"/>
            <w:tcW w:w="4610" w:type="dxa"/>
            <w:tcBorders>
              <w:top w:val="single" w:sz="4"/>
              <w:bottom w:val="single" w:sz="4"/>
              <w:right w:val="nil"/>
            </w:tcBorders>
          </w:tcPr>
          <w:p>
            <w:pPr>
              <w:pStyle w:val="0"/>
              <w:jc w:val="center"/>
            </w:pPr>
            <w:r>
              <w:rPr>
                <w:sz w:val="20"/>
              </w:rPr>
              <w:t xml:space="preserve">Целевые значения (не превышают указанные величины)</w:t>
            </w:r>
          </w:p>
        </w:tc>
      </w:tr>
      <w:tr>
        <w:tblPrEx>
          <w:tblBorders>
            <w:insideV w:val="single" w:sz="4"/>
            <w:insideH w:val="single" w:sz="4"/>
          </w:tblBorders>
        </w:tblPrEx>
        <w:tc>
          <w:tcPr>
            <w:gridSpan w:val="2"/>
            <w:tcBorders>
              <w:top w:val="single" w:sz="4"/>
              <w:left w:val="nil"/>
              <w:bottom w:val="single" w:sz="4"/>
            </w:tcBorders>
            <w:vMerge w:val="continue"/>
          </w:tcPr>
          <w:p/>
        </w:tc>
        <w:tc>
          <w:tcPr>
            <w:tcW w:w="768" w:type="dxa"/>
            <w:tcBorders>
              <w:top w:val="single" w:sz="4"/>
              <w:bottom w:val="single" w:sz="4"/>
            </w:tcBorders>
          </w:tcPr>
          <w:p>
            <w:pPr>
              <w:pStyle w:val="0"/>
              <w:jc w:val="center"/>
            </w:pPr>
            <w:r>
              <w:rPr>
                <w:sz w:val="20"/>
              </w:rPr>
              <w:t xml:space="preserve">2021 год</w:t>
            </w:r>
          </w:p>
        </w:tc>
        <w:tc>
          <w:tcPr>
            <w:tcW w:w="768" w:type="dxa"/>
            <w:tcBorders>
              <w:top w:val="single" w:sz="4"/>
              <w:bottom w:val="single" w:sz="4"/>
            </w:tcBorders>
          </w:tcPr>
          <w:p>
            <w:pPr>
              <w:pStyle w:val="0"/>
              <w:jc w:val="center"/>
            </w:pPr>
            <w:r>
              <w:rPr>
                <w:sz w:val="20"/>
              </w:rPr>
              <w:t xml:space="preserve">2022 год</w:t>
            </w:r>
          </w:p>
        </w:tc>
        <w:tc>
          <w:tcPr>
            <w:tcW w:w="768" w:type="dxa"/>
            <w:tcBorders>
              <w:top w:val="single" w:sz="4"/>
              <w:bottom w:val="single" w:sz="4"/>
            </w:tcBorders>
          </w:tcPr>
          <w:p>
            <w:pPr>
              <w:pStyle w:val="0"/>
              <w:jc w:val="center"/>
            </w:pPr>
            <w:r>
              <w:rPr>
                <w:sz w:val="20"/>
              </w:rPr>
              <w:t xml:space="preserve">2023 год</w:t>
            </w:r>
          </w:p>
        </w:tc>
        <w:tc>
          <w:tcPr>
            <w:tcW w:w="768" w:type="dxa"/>
            <w:tcBorders>
              <w:top w:val="single" w:sz="4"/>
              <w:bottom w:val="single" w:sz="4"/>
            </w:tcBorders>
          </w:tcPr>
          <w:p>
            <w:pPr>
              <w:pStyle w:val="0"/>
              <w:jc w:val="center"/>
            </w:pPr>
            <w:r>
              <w:rPr>
                <w:sz w:val="20"/>
              </w:rPr>
              <w:t xml:space="preserve">2024 год</w:t>
            </w:r>
          </w:p>
        </w:tc>
        <w:tc>
          <w:tcPr>
            <w:tcW w:w="768" w:type="dxa"/>
            <w:tcBorders>
              <w:top w:val="single" w:sz="4"/>
              <w:bottom w:val="single" w:sz="4"/>
            </w:tcBorders>
          </w:tcPr>
          <w:p>
            <w:pPr>
              <w:pStyle w:val="0"/>
              <w:jc w:val="center"/>
            </w:pPr>
            <w:r>
              <w:rPr>
                <w:sz w:val="20"/>
              </w:rPr>
              <w:t xml:space="preserve">2025 год</w:t>
            </w:r>
          </w:p>
        </w:tc>
        <w:tc>
          <w:tcPr>
            <w:tcW w:w="770" w:type="dxa"/>
            <w:tcBorders>
              <w:top w:val="single" w:sz="4"/>
              <w:bottom w:val="single" w:sz="4"/>
              <w:right w:val="nil"/>
            </w:tcBorders>
          </w:tcPr>
          <w:p>
            <w:pPr>
              <w:pStyle w:val="0"/>
              <w:jc w:val="center"/>
            </w:pPr>
            <w:r>
              <w:rPr>
                <w:sz w:val="20"/>
              </w:rPr>
              <w:t xml:space="preserve">2026 год</w:t>
            </w:r>
          </w:p>
        </w:tc>
      </w:tr>
      <w:tr>
        <w:tc>
          <w:tcPr>
            <w:tcW w:w="480" w:type="dxa"/>
            <w:tcBorders>
              <w:top w:val="single" w:sz="4"/>
              <w:left w:val="nil"/>
              <w:bottom w:val="nil"/>
              <w:right w:val="nil"/>
            </w:tcBorders>
          </w:tcPr>
          <w:p>
            <w:pPr>
              <w:pStyle w:val="0"/>
            </w:pPr>
            <w:r>
              <w:rPr>
                <w:sz w:val="20"/>
              </w:rPr>
              <w:t xml:space="preserve">1.</w:t>
            </w:r>
          </w:p>
        </w:tc>
        <w:tc>
          <w:tcPr>
            <w:tcW w:w="3969" w:type="dxa"/>
            <w:tcBorders>
              <w:top w:val="single" w:sz="4"/>
              <w:left w:val="nil"/>
              <w:bottom w:val="nil"/>
              <w:right w:val="nil"/>
            </w:tcBorders>
          </w:tcPr>
          <w:p>
            <w:pPr>
              <w:pStyle w:val="0"/>
            </w:pPr>
            <w:r>
              <w:rPr>
                <w:sz w:val="20"/>
              </w:rPr>
              <w:t xml:space="preserve">Количество пассажиров, погибших в результате аварий на морском транспорте на 1 млн. перевезенных пассажиров на морском транспорте</w:t>
            </w:r>
          </w:p>
        </w:tc>
        <w:tc>
          <w:tcPr>
            <w:tcW w:w="768" w:type="dxa"/>
            <w:tcBorders>
              <w:top w:val="single" w:sz="4"/>
              <w:left w:val="nil"/>
              <w:bottom w:val="nil"/>
              <w:right w:val="nil"/>
            </w:tcBorders>
          </w:tcPr>
          <w:p>
            <w:pPr>
              <w:pStyle w:val="0"/>
              <w:jc w:val="center"/>
            </w:pPr>
            <w:r>
              <w:rPr>
                <w:sz w:val="20"/>
              </w:rPr>
              <w:t xml:space="preserve">0,471</w:t>
            </w:r>
          </w:p>
        </w:tc>
        <w:tc>
          <w:tcPr>
            <w:tcW w:w="768" w:type="dxa"/>
            <w:tcBorders>
              <w:top w:val="single" w:sz="4"/>
              <w:left w:val="nil"/>
              <w:bottom w:val="nil"/>
              <w:right w:val="nil"/>
            </w:tcBorders>
          </w:tcPr>
          <w:p>
            <w:pPr>
              <w:pStyle w:val="0"/>
              <w:jc w:val="center"/>
            </w:pPr>
            <w:r>
              <w:rPr>
                <w:sz w:val="20"/>
              </w:rPr>
              <w:t xml:space="preserve">0,447</w:t>
            </w:r>
          </w:p>
        </w:tc>
        <w:tc>
          <w:tcPr>
            <w:tcW w:w="768" w:type="dxa"/>
            <w:tcBorders>
              <w:top w:val="single" w:sz="4"/>
              <w:left w:val="nil"/>
              <w:bottom w:val="nil"/>
              <w:right w:val="nil"/>
            </w:tcBorders>
          </w:tcPr>
          <w:p>
            <w:pPr>
              <w:pStyle w:val="0"/>
              <w:jc w:val="center"/>
            </w:pPr>
            <w:r>
              <w:rPr>
                <w:sz w:val="20"/>
              </w:rPr>
              <w:t xml:space="preserve">0,422</w:t>
            </w:r>
          </w:p>
        </w:tc>
        <w:tc>
          <w:tcPr>
            <w:tcW w:w="768" w:type="dxa"/>
            <w:tcBorders>
              <w:top w:val="single" w:sz="4"/>
              <w:left w:val="nil"/>
              <w:bottom w:val="nil"/>
              <w:right w:val="nil"/>
            </w:tcBorders>
          </w:tcPr>
          <w:p>
            <w:pPr>
              <w:pStyle w:val="0"/>
              <w:jc w:val="center"/>
            </w:pPr>
            <w:r>
              <w:rPr>
                <w:sz w:val="20"/>
              </w:rPr>
              <w:t xml:space="preserve">0,397</w:t>
            </w:r>
          </w:p>
        </w:tc>
        <w:tc>
          <w:tcPr>
            <w:tcW w:w="768" w:type="dxa"/>
            <w:tcBorders>
              <w:top w:val="single" w:sz="4"/>
              <w:left w:val="nil"/>
              <w:bottom w:val="nil"/>
              <w:right w:val="nil"/>
            </w:tcBorders>
          </w:tcPr>
          <w:p>
            <w:pPr>
              <w:pStyle w:val="0"/>
              <w:jc w:val="center"/>
            </w:pPr>
            <w:r>
              <w:rPr>
                <w:sz w:val="20"/>
              </w:rPr>
              <w:t xml:space="preserve">0,372</w:t>
            </w:r>
          </w:p>
        </w:tc>
        <w:tc>
          <w:tcPr>
            <w:tcW w:w="770" w:type="dxa"/>
            <w:tcBorders>
              <w:top w:val="single" w:sz="4"/>
              <w:left w:val="nil"/>
              <w:bottom w:val="nil"/>
              <w:right w:val="nil"/>
            </w:tcBorders>
          </w:tcPr>
          <w:p>
            <w:pPr>
              <w:pStyle w:val="0"/>
              <w:jc w:val="center"/>
            </w:pPr>
            <w:r>
              <w:rPr>
                <w:sz w:val="20"/>
              </w:rPr>
              <w:t xml:space="preserve">0,347</w:t>
            </w:r>
          </w:p>
        </w:tc>
      </w:tr>
      <w:tr>
        <w:tc>
          <w:tcPr>
            <w:tcW w:w="480" w:type="dxa"/>
            <w:tcBorders>
              <w:top w:val="nil"/>
              <w:left w:val="nil"/>
              <w:bottom w:val="nil"/>
              <w:right w:val="nil"/>
            </w:tcBorders>
          </w:tcPr>
          <w:p>
            <w:pPr>
              <w:pStyle w:val="0"/>
            </w:pPr>
            <w:r>
              <w:rPr>
                <w:sz w:val="20"/>
              </w:rPr>
              <w:t xml:space="preserve">2.</w:t>
            </w:r>
          </w:p>
        </w:tc>
        <w:tc>
          <w:tcPr>
            <w:tcW w:w="3969" w:type="dxa"/>
            <w:tcBorders>
              <w:top w:val="nil"/>
              <w:left w:val="nil"/>
              <w:bottom w:val="nil"/>
              <w:right w:val="nil"/>
            </w:tcBorders>
          </w:tcPr>
          <w:p>
            <w:pPr>
              <w:pStyle w:val="0"/>
            </w:pPr>
            <w:r>
              <w:rPr>
                <w:sz w:val="20"/>
              </w:rPr>
              <w:t xml:space="preserve">Количество пассажиров, погибших в результате аварий на внутреннем водном транспорте на 1 млн. перевезенных пассажиров внутренним водным транспортом</w:t>
            </w:r>
          </w:p>
        </w:tc>
        <w:tc>
          <w:tcPr>
            <w:tcW w:w="768" w:type="dxa"/>
            <w:tcBorders>
              <w:top w:val="nil"/>
              <w:left w:val="nil"/>
              <w:bottom w:val="nil"/>
              <w:right w:val="nil"/>
            </w:tcBorders>
          </w:tcPr>
          <w:p>
            <w:pPr>
              <w:pStyle w:val="0"/>
              <w:jc w:val="center"/>
            </w:pPr>
            <w:r>
              <w:rPr>
                <w:sz w:val="20"/>
              </w:rPr>
              <w:t xml:space="preserve">0,077</w:t>
            </w:r>
          </w:p>
        </w:tc>
        <w:tc>
          <w:tcPr>
            <w:tcW w:w="768" w:type="dxa"/>
            <w:tcBorders>
              <w:top w:val="nil"/>
              <w:left w:val="nil"/>
              <w:bottom w:val="nil"/>
              <w:right w:val="nil"/>
            </w:tcBorders>
          </w:tcPr>
          <w:p>
            <w:pPr>
              <w:pStyle w:val="0"/>
              <w:jc w:val="center"/>
            </w:pPr>
            <w:r>
              <w:rPr>
                <w:sz w:val="20"/>
              </w:rPr>
              <w:t xml:space="preserve">0,074</w:t>
            </w:r>
          </w:p>
        </w:tc>
        <w:tc>
          <w:tcPr>
            <w:tcW w:w="768" w:type="dxa"/>
            <w:tcBorders>
              <w:top w:val="nil"/>
              <w:left w:val="nil"/>
              <w:bottom w:val="nil"/>
              <w:right w:val="nil"/>
            </w:tcBorders>
          </w:tcPr>
          <w:p>
            <w:pPr>
              <w:pStyle w:val="0"/>
              <w:jc w:val="center"/>
            </w:pPr>
            <w:r>
              <w:rPr>
                <w:sz w:val="20"/>
              </w:rPr>
              <w:t xml:space="preserve">0,072</w:t>
            </w:r>
          </w:p>
        </w:tc>
        <w:tc>
          <w:tcPr>
            <w:tcW w:w="768" w:type="dxa"/>
            <w:tcBorders>
              <w:top w:val="nil"/>
              <w:left w:val="nil"/>
              <w:bottom w:val="nil"/>
              <w:right w:val="nil"/>
            </w:tcBorders>
          </w:tcPr>
          <w:p>
            <w:pPr>
              <w:pStyle w:val="0"/>
              <w:jc w:val="center"/>
            </w:pPr>
            <w:r>
              <w:rPr>
                <w:sz w:val="20"/>
              </w:rPr>
              <w:t xml:space="preserve">0,069</w:t>
            </w:r>
          </w:p>
        </w:tc>
        <w:tc>
          <w:tcPr>
            <w:tcW w:w="768" w:type="dxa"/>
            <w:tcBorders>
              <w:top w:val="nil"/>
              <w:left w:val="nil"/>
              <w:bottom w:val="nil"/>
              <w:right w:val="nil"/>
            </w:tcBorders>
          </w:tcPr>
          <w:p>
            <w:pPr>
              <w:pStyle w:val="0"/>
              <w:jc w:val="center"/>
            </w:pPr>
            <w:r>
              <w:rPr>
                <w:sz w:val="20"/>
              </w:rPr>
              <w:t xml:space="preserve">0,067</w:t>
            </w:r>
          </w:p>
        </w:tc>
        <w:tc>
          <w:tcPr>
            <w:tcW w:w="770" w:type="dxa"/>
            <w:tcBorders>
              <w:top w:val="nil"/>
              <w:left w:val="nil"/>
              <w:bottom w:val="nil"/>
              <w:right w:val="nil"/>
            </w:tcBorders>
          </w:tcPr>
          <w:p>
            <w:pPr>
              <w:pStyle w:val="0"/>
              <w:jc w:val="center"/>
            </w:pPr>
            <w:r>
              <w:rPr>
                <w:sz w:val="20"/>
              </w:rPr>
              <w:t xml:space="preserve">0,065</w:t>
            </w:r>
          </w:p>
        </w:tc>
      </w:tr>
      <w:tr>
        <w:tc>
          <w:tcPr>
            <w:tcW w:w="480" w:type="dxa"/>
            <w:tcBorders>
              <w:top w:val="nil"/>
              <w:left w:val="nil"/>
              <w:bottom w:val="nil"/>
              <w:right w:val="nil"/>
            </w:tcBorders>
          </w:tcPr>
          <w:p>
            <w:pPr>
              <w:pStyle w:val="0"/>
            </w:pPr>
            <w:r>
              <w:rPr>
                <w:sz w:val="20"/>
              </w:rPr>
              <w:t xml:space="preserve">3.</w:t>
            </w:r>
          </w:p>
        </w:tc>
        <w:tc>
          <w:tcPr>
            <w:tcW w:w="3969" w:type="dxa"/>
            <w:tcBorders>
              <w:top w:val="nil"/>
              <w:left w:val="nil"/>
              <w:bottom w:val="nil"/>
              <w:right w:val="nil"/>
            </w:tcBorders>
          </w:tcPr>
          <w:p>
            <w:pPr>
              <w:pStyle w:val="0"/>
            </w:pPr>
            <w:r>
              <w:rPr>
                <w:sz w:val="20"/>
              </w:rPr>
              <w:t xml:space="preserve">Количество пассажиров, получивших вред здоровью в результате аварий и (или) инцидентов на морском транспорте на 1 млн. перевезенных пассажиров на морском транспорте</w:t>
            </w:r>
          </w:p>
        </w:tc>
        <w:tc>
          <w:tcPr>
            <w:tcW w:w="768" w:type="dxa"/>
            <w:tcBorders>
              <w:top w:val="nil"/>
              <w:left w:val="nil"/>
              <w:bottom w:val="nil"/>
              <w:right w:val="nil"/>
            </w:tcBorders>
          </w:tcPr>
          <w:p>
            <w:pPr>
              <w:pStyle w:val="0"/>
              <w:jc w:val="center"/>
            </w:pPr>
            <w:r>
              <w:rPr>
                <w:sz w:val="20"/>
              </w:rPr>
              <w:t xml:space="preserve">0</w:t>
            </w:r>
          </w:p>
        </w:tc>
        <w:tc>
          <w:tcPr>
            <w:tcW w:w="768" w:type="dxa"/>
            <w:tcBorders>
              <w:top w:val="nil"/>
              <w:left w:val="nil"/>
              <w:bottom w:val="nil"/>
              <w:right w:val="nil"/>
            </w:tcBorders>
          </w:tcPr>
          <w:p>
            <w:pPr>
              <w:pStyle w:val="0"/>
              <w:jc w:val="center"/>
            </w:pPr>
            <w:r>
              <w:rPr>
                <w:sz w:val="20"/>
              </w:rPr>
              <w:t xml:space="preserve">0</w:t>
            </w:r>
          </w:p>
        </w:tc>
        <w:tc>
          <w:tcPr>
            <w:tcW w:w="768" w:type="dxa"/>
            <w:tcBorders>
              <w:top w:val="nil"/>
              <w:left w:val="nil"/>
              <w:bottom w:val="nil"/>
              <w:right w:val="nil"/>
            </w:tcBorders>
          </w:tcPr>
          <w:p>
            <w:pPr>
              <w:pStyle w:val="0"/>
              <w:jc w:val="center"/>
            </w:pPr>
            <w:r>
              <w:rPr>
                <w:sz w:val="20"/>
              </w:rPr>
              <w:t xml:space="preserve">0</w:t>
            </w:r>
          </w:p>
        </w:tc>
        <w:tc>
          <w:tcPr>
            <w:tcW w:w="768" w:type="dxa"/>
            <w:tcBorders>
              <w:top w:val="nil"/>
              <w:left w:val="nil"/>
              <w:bottom w:val="nil"/>
              <w:right w:val="nil"/>
            </w:tcBorders>
          </w:tcPr>
          <w:p>
            <w:pPr>
              <w:pStyle w:val="0"/>
              <w:jc w:val="center"/>
            </w:pPr>
            <w:r>
              <w:rPr>
                <w:sz w:val="20"/>
              </w:rPr>
              <w:t xml:space="preserve">0</w:t>
            </w:r>
          </w:p>
        </w:tc>
        <w:tc>
          <w:tcPr>
            <w:tcW w:w="768" w:type="dxa"/>
            <w:tcBorders>
              <w:top w:val="nil"/>
              <w:left w:val="nil"/>
              <w:bottom w:val="nil"/>
              <w:right w:val="nil"/>
            </w:tcBorders>
          </w:tcPr>
          <w:p>
            <w:pPr>
              <w:pStyle w:val="0"/>
              <w:jc w:val="center"/>
            </w:pPr>
            <w:r>
              <w:rPr>
                <w:sz w:val="20"/>
              </w:rPr>
              <w:t xml:space="preserve">0</w:t>
            </w:r>
          </w:p>
        </w:tc>
        <w:tc>
          <w:tcPr>
            <w:tcW w:w="770" w:type="dxa"/>
            <w:tcBorders>
              <w:top w:val="nil"/>
              <w:left w:val="nil"/>
              <w:bottom w:val="nil"/>
              <w:right w:val="nil"/>
            </w:tcBorders>
          </w:tcPr>
          <w:p>
            <w:pPr>
              <w:pStyle w:val="0"/>
              <w:jc w:val="center"/>
            </w:pPr>
            <w:r>
              <w:rPr>
                <w:sz w:val="20"/>
              </w:rPr>
              <w:t xml:space="preserve">0</w:t>
            </w:r>
          </w:p>
        </w:tc>
      </w:tr>
      <w:tr>
        <w:tc>
          <w:tcPr>
            <w:tcW w:w="480" w:type="dxa"/>
            <w:tcBorders>
              <w:top w:val="nil"/>
              <w:left w:val="nil"/>
              <w:bottom w:val="single" w:sz="4"/>
              <w:right w:val="nil"/>
            </w:tcBorders>
          </w:tcPr>
          <w:p>
            <w:pPr>
              <w:pStyle w:val="0"/>
            </w:pPr>
            <w:r>
              <w:rPr>
                <w:sz w:val="20"/>
              </w:rPr>
              <w:t xml:space="preserve">4.</w:t>
            </w:r>
          </w:p>
        </w:tc>
        <w:tc>
          <w:tcPr>
            <w:tcW w:w="3969" w:type="dxa"/>
            <w:tcBorders>
              <w:top w:val="nil"/>
              <w:left w:val="nil"/>
              <w:bottom w:val="single" w:sz="4"/>
              <w:right w:val="nil"/>
            </w:tcBorders>
          </w:tcPr>
          <w:p>
            <w:pPr>
              <w:pStyle w:val="0"/>
            </w:pPr>
            <w:r>
              <w:rPr>
                <w:sz w:val="20"/>
              </w:rPr>
              <w:t xml:space="preserve">Количество пассажиров, получивших вред здоровью в результате аварий и (или) инцидентов на внутреннем водном транспорте на 1 млн. перевезенных пассажиров внутренним водным транспортом</w:t>
            </w:r>
          </w:p>
        </w:tc>
        <w:tc>
          <w:tcPr>
            <w:tcW w:w="768" w:type="dxa"/>
            <w:tcBorders>
              <w:top w:val="nil"/>
              <w:left w:val="nil"/>
              <w:bottom w:val="single" w:sz="4"/>
              <w:right w:val="nil"/>
            </w:tcBorders>
          </w:tcPr>
          <w:p>
            <w:pPr>
              <w:pStyle w:val="0"/>
              <w:jc w:val="center"/>
            </w:pPr>
            <w:r>
              <w:rPr>
                <w:sz w:val="20"/>
              </w:rPr>
              <w:t xml:space="preserve">0,175</w:t>
            </w:r>
          </w:p>
        </w:tc>
        <w:tc>
          <w:tcPr>
            <w:tcW w:w="768" w:type="dxa"/>
            <w:tcBorders>
              <w:top w:val="nil"/>
              <w:left w:val="nil"/>
              <w:bottom w:val="single" w:sz="4"/>
              <w:right w:val="nil"/>
            </w:tcBorders>
          </w:tcPr>
          <w:p>
            <w:pPr>
              <w:pStyle w:val="0"/>
              <w:jc w:val="center"/>
            </w:pPr>
            <w:r>
              <w:rPr>
                <w:sz w:val="20"/>
              </w:rPr>
              <w:t xml:space="preserve">0,170</w:t>
            </w:r>
          </w:p>
        </w:tc>
        <w:tc>
          <w:tcPr>
            <w:tcW w:w="768" w:type="dxa"/>
            <w:tcBorders>
              <w:top w:val="nil"/>
              <w:left w:val="nil"/>
              <w:bottom w:val="single" w:sz="4"/>
              <w:right w:val="nil"/>
            </w:tcBorders>
          </w:tcPr>
          <w:p>
            <w:pPr>
              <w:pStyle w:val="0"/>
              <w:jc w:val="center"/>
            </w:pPr>
            <w:r>
              <w:rPr>
                <w:sz w:val="20"/>
              </w:rPr>
              <w:t xml:space="preserve">0,164</w:t>
            </w:r>
          </w:p>
        </w:tc>
        <w:tc>
          <w:tcPr>
            <w:tcW w:w="768" w:type="dxa"/>
            <w:tcBorders>
              <w:top w:val="nil"/>
              <w:left w:val="nil"/>
              <w:bottom w:val="single" w:sz="4"/>
              <w:right w:val="nil"/>
            </w:tcBorders>
          </w:tcPr>
          <w:p>
            <w:pPr>
              <w:pStyle w:val="0"/>
              <w:jc w:val="center"/>
            </w:pPr>
            <w:r>
              <w:rPr>
                <w:sz w:val="20"/>
              </w:rPr>
              <w:t xml:space="preserve">0,159</w:t>
            </w:r>
          </w:p>
        </w:tc>
        <w:tc>
          <w:tcPr>
            <w:tcW w:w="768" w:type="dxa"/>
            <w:tcBorders>
              <w:top w:val="nil"/>
              <w:left w:val="nil"/>
              <w:bottom w:val="single" w:sz="4"/>
              <w:right w:val="nil"/>
            </w:tcBorders>
          </w:tcPr>
          <w:p>
            <w:pPr>
              <w:pStyle w:val="0"/>
              <w:jc w:val="center"/>
            </w:pPr>
            <w:r>
              <w:rPr>
                <w:sz w:val="20"/>
              </w:rPr>
              <w:t xml:space="preserve">0,154</w:t>
            </w:r>
          </w:p>
        </w:tc>
        <w:tc>
          <w:tcPr>
            <w:tcW w:w="770" w:type="dxa"/>
            <w:tcBorders>
              <w:top w:val="nil"/>
              <w:left w:val="nil"/>
              <w:bottom w:val="single" w:sz="4"/>
              <w:right w:val="nil"/>
            </w:tcBorders>
          </w:tcPr>
          <w:p>
            <w:pPr>
              <w:pStyle w:val="0"/>
              <w:jc w:val="center"/>
            </w:pPr>
            <w:r>
              <w:rPr>
                <w:sz w:val="20"/>
              </w:rPr>
              <w:t xml:space="preserve">0,148</w:t>
            </w:r>
          </w:p>
        </w:tc>
      </w:tr>
    </w:tbl>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июня 2021 г. N 1047</w:t>
      </w:r>
    </w:p>
    <w:p>
      <w:pPr>
        <w:pStyle w:val="0"/>
        <w:jc w:val="both"/>
      </w:pPr>
      <w:r>
        <w:rPr>
          <w:sz w:val="20"/>
        </w:rPr>
      </w:r>
    </w:p>
    <w:p>
      <w:pPr>
        <w:pStyle w:val="2"/>
        <w:jc w:val="center"/>
      </w:pPr>
      <w:r>
        <w:rPr>
          <w:sz w:val="20"/>
        </w:rPr>
        <w:t xml:space="preserve">ИЗМЕНЕНИЯ,</w:t>
      </w:r>
    </w:p>
    <w:p>
      <w:pPr>
        <w:pStyle w:val="2"/>
        <w:jc w:val="center"/>
      </w:pPr>
      <w:r>
        <w:rPr>
          <w:sz w:val="20"/>
        </w:rPr>
        <w:t xml:space="preserve">КОТОРЫЕ ВНОСЯТСЯ В ПОЛОЖЕНИЕ О ФЕДЕРАЛЬНОМ ГОСУДАРСТВЕННОМ</w:t>
      </w:r>
    </w:p>
    <w:p>
      <w:pPr>
        <w:pStyle w:val="2"/>
        <w:jc w:val="center"/>
      </w:pPr>
      <w:r>
        <w:rPr>
          <w:sz w:val="20"/>
        </w:rPr>
        <w:t xml:space="preserve">ТРАНСПОРТНОМ НАДЗОРЕ</w:t>
      </w:r>
    </w:p>
    <w:p>
      <w:pPr>
        <w:pStyle w:val="0"/>
        <w:jc w:val="center"/>
      </w:pPr>
      <w:r>
        <w:rPr>
          <w:sz w:val="20"/>
        </w:rPr>
      </w:r>
    </w:p>
    <w:p>
      <w:pPr>
        <w:pStyle w:val="0"/>
        <w:ind w:firstLine="540"/>
        <w:jc w:val="both"/>
      </w:pPr>
      <w:r>
        <w:rPr>
          <w:sz w:val="20"/>
        </w:rPr>
        <w:t xml:space="preserve">Утратили силу. - </w:t>
      </w:r>
      <w:hyperlink w:history="0" r:id="rId169" w:tooltip="Постановление Правительства РФ от 22.09.2021 N 1596 (ред. от 02.09.2025) &quot;О внесении изменений в некоторые акты Правительства Российской Федерации и о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22.09.2021 N 1596.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29.06.2021 N 1047</w:t>
            <w:br/>
            <w:t>(ред. от 02.09.2025)</w:t>
            <w:br/>
            <w:t>"Об утверждении Положения о федеральном государ...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798&amp;dst=100018" TargetMode = "External"/><Relationship Id="rId9" Type="http://schemas.openxmlformats.org/officeDocument/2006/relationships/hyperlink" Target="https://login.consultant.ru/link/?req=doc&amp;base=LAW&amp;n=401763&amp;dst=100005" TargetMode = "External"/><Relationship Id="rId10" Type="http://schemas.openxmlformats.org/officeDocument/2006/relationships/hyperlink" Target="https://login.consultant.ru/link/?req=doc&amp;base=LAW&amp;n=513758&amp;dst=100005" TargetMode = "External"/><Relationship Id="rId11" Type="http://schemas.openxmlformats.org/officeDocument/2006/relationships/hyperlink" Target="https://login.consultant.ru/link/?req=doc&amp;base=LAW&amp;n=513798&amp;dst=100018" TargetMode = "External"/><Relationship Id="rId12" Type="http://schemas.openxmlformats.org/officeDocument/2006/relationships/hyperlink" Target="https://login.consultant.ru/link/?req=doc&amp;base=LAW&amp;n=301346&amp;dst=100013" TargetMode = "External"/><Relationship Id="rId13" Type="http://schemas.openxmlformats.org/officeDocument/2006/relationships/hyperlink" Target="https://login.consultant.ru/link/?req=doc&amp;base=LAW&amp;n=301346&amp;dst=100014" TargetMode = "External"/><Relationship Id="rId14" Type="http://schemas.openxmlformats.org/officeDocument/2006/relationships/hyperlink" Target="https://login.consultant.ru/link/?req=doc&amp;base=LAW&amp;n=513798&amp;dst=100068" TargetMode = "External"/><Relationship Id="rId15" Type="http://schemas.openxmlformats.org/officeDocument/2006/relationships/hyperlink" Target="https://login.consultant.ru/link/?req=doc&amp;base=LAW&amp;n=401763&amp;dst=100005" TargetMode = "External"/><Relationship Id="rId16" Type="http://schemas.openxmlformats.org/officeDocument/2006/relationships/hyperlink" Target="https://login.consultant.ru/link/?req=doc&amp;base=LAW&amp;n=513758&amp;dst=100005" TargetMode = "External"/><Relationship Id="rId17" Type="http://schemas.openxmlformats.org/officeDocument/2006/relationships/hyperlink" Target="https://login.consultant.ru/link/?req=doc&amp;base=LAW&amp;n=511656&amp;dst=3494" TargetMode = "External"/><Relationship Id="rId18" Type="http://schemas.openxmlformats.org/officeDocument/2006/relationships/hyperlink" Target="https://login.consultant.ru/link/?req=doc&amp;base=LAW&amp;n=511669&amp;dst=406" TargetMode = "External"/><Relationship Id="rId19" Type="http://schemas.openxmlformats.org/officeDocument/2006/relationships/hyperlink" Target="https://login.consultant.ru/link/?req=doc&amp;base=LAW&amp;n=335157&amp;dst=100010" TargetMode = "External"/><Relationship Id="rId20" Type="http://schemas.openxmlformats.org/officeDocument/2006/relationships/hyperlink" Target="https://login.consultant.ru/link/?req=doc&amp;base=LAW&amp;n=335157&amp;dst=100290" TargetMode = "External"/><Relationship Id="rId21" Type="http://schemas.openxmlformats.org/officeDocument/2006/relationships/hyperlink" Target="https://login.consultant.ru/link/?req=doc&amp;base=LAW&amp;n=335157&amp;dst=100663" TargetMode = "External"/><Relationship Id="rId22" Type="http://schemas.openxmlformats.org/officeDocument/2006/relationships/hyperlink" Target="https://login.consultant.ru/link/?req=doc&amp;base=LAW&amp;n=335157&amp;dst=100665" TargetMode = "External"/><Relationship Id="rId23" Type="http://schemas.openxmlformats.org/officeDocument/2006/relationships/hyperlink" Target="https://login.consultant.ru/link/?req=doc&amp;base=LAW&amp;n=335157&amp;dst=100667" TargetMode = "External"/><Relationship Id="rId24" Type="http://schemas.openxmlformats.org/officeDocument/2006/relationships/hyperlink" Target="https://login.consultant.ru/link/?req=doc&amp;base=LAW&amp;n=335157&amp;dst=100672" TargetMode = "External"/><Relationship Id="rId25" Type="http://schemas.openxmlformats.org/officeDocument/2006/relationships/hyperlink" Target="https://login.consultant.ru/link/?req=doc&amp;base=LAW&amp;n=335157&amp;dst=100675" TargetMode = "External"/><Relationship Id="rId26" Type="http://schemas.openxmlformats.org/officeDocument/2006/relationships/hyperlink" Target="https://login.consultant.ru/link/?req=doc&amp;base=LAW&amp;n=335157&amp;dst=100677" TargetMode = "External"/><Relationship Id="rId27" Type="http://schemas.openxmlformats.org/officeDocument/2006/relationships/hyperlink" Target="https://login.consultant.ru/link/?req=doc&amp;base=LAW&amp;n=335157&amp;dst=100680" TargetMode = "External"/><Relationship Id="rId28" Type="http://schemas.openxmlformats.org/officeDocument/2006/relationships/hyperlink" Target="https://login.consultant.ru/link/?req=doc&amp;base=LAW&amp;n=335157&amp;dst=100681" TargetMode = "External"/><Relationship Id="rId29" Type="http://schemas.openxmlformats.org/officeDocument/2006/relationships/hyperlink" Target="https://login.consultant.ru/link/?req=doc&amp;base=LAW&amp;n=335157&amp;dst=100685" TargetMode = "External"/><Relationship Id="rId30" Type="http://schemas.openxmlformats.org/officeDocument/2006/relationships/hyperlink" Target="https://login.consultant.ru/link/?req=doc&amp;base=LAW&amp;n=335157&amp;dst=100687" TargetMode = "External"/><Relationship Id="rId31" Type="http://schemas.openxmlformats.org/officeDocument/2006/relationships/hyperlink" Target="https://login.consultant.ru/link/?req=doc&amp;base=LAW&amp;n=335157&amp;dst=100690" TargetMode = "External"/><Relationship Id="rId32" Type="http://schemas.openxmlformats.org/officeDocument/2006/relationships/hyperlink" Target="https://login.consultant.ru/link/?req=doc&amp;base=LAW&amp;n=335157&amp;dst=100695" TargetMode = "External"/><Relationship Id="rId33" Type="http://schemas.openxmlformats.org/officeDocument/2006/relationships/hyperlink" Target="https://login.consultant.ru/link/?req=doc&amp;base=LAW&amp;n=335157&amp;dst=100698" TargetMode = "External"/><Relationship Id="rId34" Type="http://schemas.openxmlformats.org/officeDocument/2006/relationships/hyperlink" Target="https://login.consultant.ru/link/?req=doc&amp;base=LAW&amp;n=335157&amp;dst=100726" TargetMode = "External"/><Relationship Id="rId35" Type="http://schemas.openxmlformats.org/officeDocument/2006/relationships/hyperlink" Target="https://login.consultant.ru/link/?req=doc&amp;base=LAW&amp;n=335157&amp;dst=100730" TargetMode = "External"/><Relationship Id="rId36" Type="http://schemas.openxmlformats.org/officeDocument/2006/relationships/hyperlink" Target="https://login.consultant.ru/link/?req=doc&amp;base=LAW&amp;n=335157&amp;dst=100741" TargetMode = "External"/><Relationship Id="rId37" Type="http://schemas.openxmlformats.org/officeDocument/2006/relationships/hyperlink" Target="https://login.consultant.ru/link/?req=doc&amp;base=LAW&amp;n=335157&amp;dst=100742" TargetMode = "External"/><Relationship Id="rId38" Type="http://schemas.openxmlformats.org/officeDocument/2006/relationships/hyperlink" Target="https://login.consultant.ru/link/?req=doc&amp;base=LAW&amp;n=335157&amp;dst=100785" TargetMode = "External"/><Relationship Id="rId39" Type="http://schemas.openxmlformats.org/officeDocument/2006/relationships/hyperlink" Target="https://login.consultant.ru/link/?req=doc&amp;base=LAW&amp;n=508207&amp;dst=100012" TargetMode = "External"/><Relationship Id="rId40" Type="http://schemas.openxmlformats.org/officeDocument/2006/relationships/hyperlink" Target="https://login.consultant.ru/link/?req=doc&amp;base=LAW&amp;n=508207&amp;dst=100627" TargetMode = "External"/><Relationship Id="rId41" Type="http://schemas.openxmlformats.org/officeDocument/2006/relationships/hyperlink" Target="https://login.consultant.ru/link/?req=doc&amp;base=LAW&amp;n=508207&amp;dst=101153" TargetMode = "External"/><Relationship Id="rId42" Type="http://schemas.openxmlformats.org/officeDocument/2006/relationships/hyperlink" Target="https://login.consultant.ru/link/?req=doc&amp;base=LAW&amp;n=508207&amp;dst=101164" TargetMode = "External"/><Relationship Id="rId43" Type="http://schemas.openxmlformats.org/officeDocument/2006/relationships/hyperlink" Target="https://login.consultant.ru/link/?req=doc&amp;base=LAW&amp;n=508207&amp;dst=101210" TargetMode = "External"/><Relationship Id="rId44" Type="http://schemas.openxmlformats.org/officeDocument/2006/relationships/hyperlink" Target="https://login.consultant.ru/link/?req=doc&amp;base=LAW&amp;n=508207&amp;dst=101238" TargetMode = "External"/><Relationship Id="rId45" Type="http://schemas.openxmlformats.org/officeDocument/2006/relationships/hyperlink" Target="https://login.consultant.ru/link/?req=doc&amp;base=LAW&amp;n=508207&amp;dst=101241" TargetMode = "External"/><Relationship Id="rId46" Type="http://schemas.openxmlformats.org/officeDocument/2006/relationships/hyperlink" Target="https://login.consultant.ru/link/?req=doc&amp;base=LAW&amp;n=508207&amp;dst=101242" TargetMode = "External"/><Relationship Id="rId47" Type="http://schemas.openxmlformats.org/officeDocument/2006/relationships/hyperlink" Target="https://login.consultant.ru/link/?req=doc&amp;base=LAW&amp;n=508207&amp;dst=101244" TargetMode = "External"/><Relationship Id="rId48" Type="http://schemas.openxmlformats.org/officeDocument/2006/relationships/hyperlink" Target="https://login.consultant.ru/link/?req=doc&amp;base=LAW&amp;n=508207&amp;dst=101243" TargetMode = "External"/><Relationship Id="rId49" Type="http://schemas.openxmlformats.org/officeDocument/2006/relationships/hyperlink" Target="https://login.consultant.ru/link/?req=doc&amp;base=LAW&amp;n=508207&amp;dst=101254" TargetMode = "External"/><Relationship Id="rId50" Type="http://schemas.openxmlformats.org/officeDocument/2006/relationships/hyperlink" Target="https://login.consultant.ru/link/?req=doc&amp;base=LAW&amp;n=508207&amp;dst=101260" TargetMode = "External"/><Relationship Id="rId51" Type="http://schemas.openxmlformats.org/officeDocument/2006/relationships/hyperlink" Target="https://login.consultant.ru/link/?req=doc&amp;base=LAW&amp;n=508207&amp;dst=101264" TargetMode = "External"/><Relationship Id="rId52" Type="http://schemas.openxmlformats.org/officeDocument/2006/relationships/hyperlink" Target="https://login.consultant.ru/link/?req=doc&amp;base=LAW&amp;n=508207&amp;dst=101266" TargetMode = "External"/><Relationship Id="rId53" Type="http://schemas.openxmlformats.org/officeDocument/2006/relationships/hyperlink" Target="https://login.consultant.ru/link/?req=doc&amp;base=LAW&amp;n=508207&amp;dst=101268" TargetMode = "External"/><Relationship Id="rId54" Type="http://schemas.openxmlformats.org/officeDocument/2006/relationships/hyperlink" Target="https://login.consultant.ru/link/?req=doc&amp;base=LAW&amp;n=508207&amp;dst=101269" TargetMode = "External"/><Relationship Id="rId55" Type="http://schemas.openxmlformats.org/officeDocument/2006/relationships/hyperlink" Target="https://login.consultant.ru/link/?req=doc&amp;base=LAW&amp;n=508207&amp;dst=101273" TargetMode = "External"/><Relationship Id="rId56" Type="http://schemas.openxmlformats.org/officeDocument/2006/relationships/hyperlink" Target="https://login.consultant.ru/link/?req=doc&amp;base=LAW&amp;n=508207&amp;dst=101275" TargetMode = "External"/><Relationship Id="rId57" Type="http://schemas.openxmlformats.org/officeDocument/2006/relationships/hyperlink" Target="https://login.consultant.ru/link/?req=doc&amp;base=LAW&amp;n=508207&amp;dst=101277" TargetMode = "External"/><Relationship Id="rId58" Type="http://schemas.openxmlformats.org/officeDocument/2006/relationships/hyperlink" Target="https://login.consultant.ru/link/?req=doc&amp;base=LAW&amp;n=508207&amp;dst=101280" TargetMode = "External"/><Relationship Id="rId59" Type="http://schemas.openxmlformats.org/officeDocument/2006/relationships/hyperlink" Target="https://login.consultant.ru/link/?req=doc&amp;base=LAW&amp;n=508207&amp;dst=101284" TargetMode = "External"/><Relationship Id="rId60" Type="http://schemas.openxmlformats.org/officeDocument/2006/relationships/hyperlink" Target="https://login.consultant.ru/link/?req=doc&amp;base=LAW&amp;n=508207&amp;dst=101287" TargetMode = "External"/><Relationship Id="rId61" Type="http://schemas.openxmlformats.org/officeDocument/2006/relationships/hyperlink" Target="https://login.consultant.ru/link/?req=doc&amp;base=LAW&amp;n=508207&amp;dst=101293" TargetMode = "External"/><Relationship Id="rId62" Type="http://schemas.openxmlformats.org/officeDocument/2006/relationships/hyperlink" Target="https://login.consultant.ru/link/?req=doc&amp;base=LAW&amp;n=508207&amp;dst=101294" TargetMode = "External"/><Relationship Id="rId63" Type="http://schemas.openxmlformats.org/officeDocument/2006/relationships/hyperlink" Target="https://login.consultant.ru/link/?req=doc&amp;base=LAW&amp;n=508207&amp;dst=101352" TargetMode = "External"/><Relationship Id="rId64" Type="http://schemas.openxmlformats.org/officeDocument/2006/relationships/hyperlink" Target="https://login.consultant.ru/link/?req=doc&amp;base=LAW&amp;n=508207&amp;dst=101355" TargetMode = "External"/><Relationship Id="rId65" Type="http://schemas.openxmlformats.org/officeDocument/2006/relationships/hyperlink" Target="https://login.consultant.ru/link/?req=doc&amp;base=LAW&amp;n=508207&amp;dst=101359" TargetMode = "External"/><Relationship Id="rId66" Type="http://schemas.openxmlformats.org/officeDocument/2006/relationships/hyperlink" Target="https://login.consultant.ru/link/?req=doc&amp;base=LAW&amp;n=508207&amp;dst=101394" TargetMode = "External"/><Relationship Id="rId67" Type="http://schemas.openxmlformats.org/officeDocument/2006/relationships/hyperlink" Target="https://login.consultant.ru/link/?req=doc&amp;base=LAW&amp;n=508207&amp;dst=101415" TargetMode = "External"/><Relationship Id="rId68" Type="http://schemas.openxmlformats.org/officeDocument/2006/relationships/hyperlink" Target="https://login.consultant.ru/link/?req=doc&amp;base=LAW&amp;n=508207&amp;dst=101420" TargetMode = "External"/><Relationship Id="rId69" Type="http://schemas.openxmlformats.org/officeDocument/2006/relationships/hyperlink" Target="https://login.consultant.ru/link/?req=doc&amp;base=LAW&amp;n=508207&amp;dst=101424" TargetMode = "External"/><Relationship Id="rId70" Type="http://schemas.openxmlformats.org/officeDocument/2006/relationships/hyperlink" Target="https://login.consultant.ru/link/?req=doc&amp;base=LAW&amp;n=508207&amp;dst=101480" TargetMode = "External"/><Relationship Id="rId71" Type="http://schemas.openxmlformats.org/officeDocument/2006/relationships/hyperlink" Target="https://login.consultant.ru/link/?req=doc&amp;base=LAW&amp;n=508207&amp;dst=101519" TargetMode = "External"/><Relationship Id="rId72" Type="http://schemas.openxmlformats.org/officeDocument/2006/relationships/hyperlink" Target="https://login.consultant.ru/link/?req=doc&amp;base=LAW&amp;n=508207&amp;dst=101523" TargetMode = "External"/><Relationship Id="rId73" Type="http://schemas.openxmlformats.org/officeDocument/2006/relationships/hyperlink" Target="https://login.consultant.ru/link/?req=doc&amp;base=LAW&amp;n=508984&amp;dst=100329" TargetMode = "External"/><Relationship Id="rId74" Type="http://schemas.openxmlformats.org/officeDocument/2006/relationships/hyperlink" Target="https://login.consultant.ru/link/?req=doc&amp;base=LAW&amp;n=513758&amp;dst=100010" TargetMode = "External"/><Relationship Id="rId75" Type="http://schemas.openxmlformats.org/officeDocument/2006/relationships/hyperlink" Target="https://login.consultant.ru/link/?req=doc&amp;base=LAW&amp;n=508984&amp;dst=101331" TargetMode = "External"/><Relationship Id="rId76" Type="http://schemas.openxmlformats.org/officeDocument/2006/relationships/hyperlink" Target="https://login.consultant.ru/link/?req=doc&amp;base=LAW&amp;n=513758&amp;dst=100012" TargetMode = "External"/><Relationship Id="rId77" Type="http://schemas.openxmlformats.org/officeDocument/2006/relationships/hyperlink" Target="https://login.consultant.ru/link/?req=doc&amp;base=LAW&amp;n=513758&amp;dst=100015" TargetMode = "External"/><Relationship Id="rId78" Type="http://schemas.openxmlformats.org/officeDocument/2006/relationships/hyperlink" Target="https://login.consultant.ru/link/?req=doc&amp;base=LAW&amp;n=513758&amp;dst=100017" TargetMode = "External"/><Relationship Id="rId79" Type="http://schemas.openxmlformats.org/officeDocument/2006/relationships/hyperlink" Target="https://login.consultant.ru/link/?req=doc&amp;base=LAW&amp;n=531464" TargetMode = "External"/><Relationship Id="rId80" Type="http://schemas.openxmlformats.org/officeDocument/2006/relationships/hyperlink" Target="https://login.consultant.ru/link/?req=doc&amp;base=LAW&amp;n=483298" TargetMode = "External"/><Relationship Id="rId81" Type="http://schemas.openxmlformats.org/officeDocument/2006/relationships/hyperlink" Target="https://login.consultant.ru/link/?req=doc&amp;base=LAW&amp;n=508984&amp;dst=100261" TargetMode = "External"/><Relationship Id="rId82" Type="http://schemas.openxmlformats.org/officeDocument/2006/relationships/hyperlink" Target="https://login.consultant.ru/link/?req=doc&amp;base=LAW&amp;n=513758&amp;dst=100018" TargetMode = "External"/><Relationship Id="rId83" Type="http://schemas.openxmlformats.org/officeDocument/2006/relationships/hyperlink" Target="https://login.consultant.ru/link/?req=doc&amp;base=LAW&amp;n=513758&amp;dst=100019" TargetMode = "External"/><Relationship Id="rId84" Type="http://schemas.openxmlformats.org/officeDocument/2006/relationships/hyperlink" Target="https://login.consultant.ru/link/?req=doc&amp;base=LAW&amp;n=513758&amp;dst=100021" TargetMode = "External"/><Relationship Id="rId85" Type="http://schemas.openxmlformats.org/officeDocument/2006/relationships/hyperlink" Target="https://login.consultant.ru/link/?req=doc&amp;base=LAW&amp;n=513758&amp;dst=100022" TargetMode = "External"/><Relationship Id="rId86" Type="http://schemas.openxmlformats.org/officeDocument/2006/relationships/hyperlink" Target="https://login.consultant.ru/link/?req=doc&amp;base=LAW&amp;n=513758&amp;dst=100023" TargetMode = "External"/><Relationship Id="rId87" Type="http://schemas.openxmlformats.org/officeDocument/2006/relationships/hyperlink" Target="https://login.consultant.ru/link/?req=doc&amp;base=LAW&amp;n=508984&amp;dst=101366" TargetMode = "External"/><Relationship Id="rId88" Type="http://schemas.openxmlformats.org/officeDocument/2006/relationships/hyperlink" Target="https://login.consultant.ru/link/?req=doc&amp;base=LAW&amp;n=513758&amp;dst=100028" TargetMode = "External"/><Relationship Id="rId89" Type="http://schemas.openxmlformats.org/officeDocument/2006/relationships/hyperlink" Target="https://login.consultant.ru/link/?req=doc&amp;base=LAW&amp;n=508984&amp;dst=100996" TargetMode = "External"/><Relationship Id="rId90" Type="http://schemas.openxmlformats.org/officeDocument/2006/relationships/hyperlink" Target="https://login.consultant.ru/link/?req=doc&amp;base=LAW&amp;n=513758&amp;dst=100031" TargetMode = "External"/><Relationship Id="rId91" Type="http://schemas.openxmlformats.org/officeDocument/2006/relationships/hyperlink" Target="https://login.consultant.ru/link/?req=doc&amp;base=LAW&amp;n=508984&amp;dst=101391" TargetMode = "External"/><Relationship Id="rId92" Type="http://schemas.openxmlformats.org/officeDocument/2006/relationships/hyperlink" Target="https://login.consultant.ru/link/?req=doc&amp;base=LAW&amp;n=513758&amp;dst=100033" TargetMode = "External"/><Relationship Id="rId93" Type="http://schemas.openxmlformats.org/officeDocument/2006/relationships/hyperlink" Target="https://login.consultant.ru/link/?req=doc&amp;base=LAW&amp;n=508984&amp;dst=101176" TargetMode = "External"/><Relationship Id="rId94" Type="http://schemas.openxmlformats.org/officeDocument/2006/relationships/hyperlink" Target="https://login.consultant.ru/link/?req=doc&amp;base=LAW&amp;n=513758&amp;dst=100034" TargetMode = "External"/><Relationship Id="rId95" Type="http://schemas.openxmlformats.org/officeDocument/2006/relationships/hyperlink" Target="https://login.consultant.ru/link/?req=doc&amp;base=LAW&amp;n=513758&amp;dst=100037" TargetMode = "External"/><Relationship Id="rId96" Type="http://schemas.openxmlformats.org/officeDocument/2006/relationships/hyperlink" Target="https://login.consultant.ru/link/?req=doc&amp;base=LAW&amp;n=513758&amp;dst=100039" TargetMode = "External"/><Relationship Id="rId97" Type="http://schemas.openxmlformats.org/officeDocument/2006/relationships/hyperlink" Target="https://login.consultant.ru/link/?req=doc&amp;base=LAW&amp;n=513758&amp;dst=100041" TargetMode = "External"/><Relationship Id="rId98" Type="http://schemas.openxmlformats.org/officeDocument/2006/relationships/hyperlink" Target="https://login.consultant.ru/link/?req=doc&amp;base=LAW&amp;n=508984&amp;dst=101409" TargetMode = "External"/><Relationship Id="rId99" Type="http://schemas.openxmlformats.org/officeDocument/2006/relationships/hyperlink" Target="https://login.consultant.ru/link/?req=doc&amp;base=LAW&amp;n=508984&amp;dst=100638" TargetMode = "External"/><Relationship Id="rId100" Type="http://schemas.openxmlformats.org/officeDocument/2006/relationships/hyperlink" Target="https://login.consultant.ru/link/?req=doc&amp;base=LAW&amp;n=508984&amp;dst=101411" TargetMode = "External"/><Relationship Id="rId101" Type="http://schemas.openxmlformats.org/officeDocument/2006/relationships/hyperlink" Target="https://login.consultant.ru/link/?req=doc&amp;base=LAW&amp;n=508984&amp;dst=101413" TargetMode = "External"/><Relationship Id="rId102" Type="http://schemas.openxmlformats.org/officeDocument/2006/relationships/hyperlink" Target="https://login.consultant.ru/link/?req=doc&amp;base=LAW&amp;n=513758&amp;dst=100043" TargetMode = "External"/><Relationship Id="rId103" Type="http://schemas.openxmlformats.org/officeDocument/2006/relationships/hyperlink" Target="https://login.consultant.ru/link/?req=doc&amp;base=LAW&amp;n=508984&amp;dst=101409" TargetMode = "External"/><Relationship Id="rId104" Type="http://schemas.openxmlformats.org/officeDocument/2006/relationships/hyperlink" Target="https://login.consultant.ru/link/?req=doc&amp;base=LAW&amp;n=508984&amp;dst=100638" TargetMode = "External"/><Relationship Id="rId105" Type="http://schemas.openxmlformats.org/officeDocument/2006/relationships/hyperlink" Target="https://login.consultant.ru/link/?req=doc&amp;base=LAW&amp;n=508984&amp;dst=101411" TargetMode = "External"/><Relationship Id="rId106" Type="http://schemas.openxmlformats.org/officeDocument/2006/relationships/hyperlink" Target="https://login.consultant.ru/link/?req=doc&amp;base=LAW&amp;n=508984&amp;dst=101413" TargetMode = "External"/><Relationship Id="rId107" Type="http://schemas.openxmlformats.org/officeDocument/2006/relationships/hyperlink" Target="https://login.consultant.ru/link/?req=doc&amp;base=LAW&amp;n=513758&amp;dst=100046" TargetMode = "External"/><Relationship Id="rId108" Type="http://schemas.openxmlformats.org/officeDocument/2006/relationships/hyperlink" Target="https://login.consultant.ru/link/?req=doc&amp;base=LAW&amp;n=513758&amp;dst=100049" TargetMode = "External"/><Relationship Id="rId109" Type="http://schemas.openxmlformats.org/officeDocument/2006/relationships/hyperlink" Target="https://login.consultant.ru/link/?req=doc&amp;base=LAW&amp;n=508984&amp;dst=101409" TargetMode = "External"/><Relationship Id="rId110" Type="http://schemas.openxmlformats.org/officeDocument/2006/relationships/hyperlink" Target="https://login.consultant.ru/link/?req=doc&amp;base=LAW&amp;n=508984&amp;dst=100638" TargetMode = "External"/><Relationship Id="rId111" Type="http://schemas.openxmlformats.org/officeDocument/2006/relationships/hyperlink" Target="https://login.consultant.ru/link/?req=doc&amp;base=LAW&amp;n=508984&amp;dst=101411" TargetMode = "External"/><Relationship Id="rId112" Type="http://schemas.openxmlformats.org/officeDocument/2006/relationships/hyperlink" Target="https://login.consultant.ru/link/?req=doc&amp;base=LAW&amp;n=508984&amp;dst=101413" TargetMode = "External"/><Relationship Id="rId113" Type="http://schemas.openxmlformats.org/officeDocument/2006/relationships/hyperlink" Target="https://login.consultant.ru/link/?req=doc&amp;base=LAW&amp;n=513758&amp;dst=100051" TargetMode = "External"/><Relationship Id="rId114" Type="http://schemas.openxmlformats.org/officeDocument/2006/relationships/hyperlink" Target="https://login.consultant.ru/link/?req=doc&amp;base=LAW&amp;n=508984&amp;dst=101409" TargetMode = "External"/><Relationship Id="rId115" Type="http://schemas.openxmlformats.org/officeDocument/2006/relationships/hyperlink" Target="https://login.consultant.ru/link/?req=doc&amp;base=LAW&amp;n=508984&amp;dst=100638" TargetMode = "External"/><Relationship Id="rId116" Type="http://schemas.openxmlformats.org/officeDocument/2006/relationships/hyperlink" Target="https://login.consultant.ru/link/?req=doc&amp;base=LAW&amp;n=508984&amp;dst=101411" TargetMode = "External"/><Relationship Id="rId117" Type="http://schemas.openxmlformats.org/officeDocument/2006/relationships/hyperlink" Target="https://login.consultant.ru/link/?req=doc&amp;base=LAW&amp;n=508984&amp;dst=101413" TargetMode = "External"/><Relationship Id="rId118" Type="http://schemas.openxmlformats.org/officeDocument/2006/relationships/hyperlink" Target="https://login.consultant.ru/link/?req=doc&amp;base=LAW&amp;n=513758&amp;dst=100052" TargetMode = "External"/><Relationship Id="rId119" Type="http://schemas.openxmlformats.org/officeDocument/2006/relationships/hyperlink" Target="https://login.consultant.ru/link/?req=doc&amp;base=LAW&amp;n=508984&amp;dst=100659" TargetMode = "External"/><Relationship Id="rId120" Type="http://schemas.openxmlformats.org/officeDocument/2006/relationships/hyperlink" Target="https://login.consultant.ru/link/?req=doc&amp;base=LAW&amp;n=513758&amp;dst=100055" TargetMode = "External"/><Relationship Id="rId121" Type="http://schemas.openxmlformats.org/officeDocument/2006/relationships/hyperlink" Target="https://login.consultant.ru/link/?req=doc&amp;base=LAW&amp;n=508984&amp;dst=101000" TargetMode = "External"/><Relationship Id="rId122" Type="http://schemas.openxmlformats.org/officeDocument/2006/relationships/hyperlink" Target="https://login.consultant.ru/link/?req=doc&amp;base=LAW&amp;n=513758&amp;dst=100056" TargetMode = "External"/><Relationship Id="rId123" Type="http://schemas.openxmlformats.org/officeDocument/2006/relationships/hyperlink" Target="https://login.consultant.ru/link/?req=doc&amp;base=LAW&amp;n=508984&amp;dst=101053" TargetMode = "External"/><Relationship Id="rId124" Type="http://schemas.openxmlformats.org/officeDocument/2006/relationships/hyperlink" Target="https://login.consultant.ru/link/?req=doc&amp;base=LAW&amp;n=508984&amp;dst=101055" TargetMode = "External"/><Relationship Id="rId125" Type="http://schemas.openxmlformats.org/officeDocument/2006/relationships/hyperlink" Target="https://login.consultant.ru/link/?req=doc&amp;base=LAW&amp;n=511669&amp;dst=100048" TargetMode = "External"/><Relationship Id="rId126" Type="http://schemas.openxmlformats.org/officeDocument/2006/relationships/hyperlink" Target="https://login.consultant.ru/link/?req=doc&amp;base=LAW&amp;n=511669&amp;dst=100017" TargetMode = "External"/><Relationship Id="rId127" Type="http://schemas.openxmlformats.org/officeDocument/2006/relationships/hyperlink" Target="https://login.consultant.ru/link/?req=doc&amp;base=LAW&amp;n=499763&amp;dst=81" TargetMode = "External"/><Relationship Id="rId128" Type="http://schemas.openxmlformats.org/officeDocument/2006/relationships/hyperlink" Target="https://login.consultant.ru/link/?req=doc&amp;base=LAW&amp;n=513758&amp;dst=100058" TargetMode = "External"/><Relationship Id="rId129" Type="http://schemas.openxmlformats.org/officeDocument/2006/relationships/hyperlink" Target="https://login.consultant.ru/link/?req=doc&amp;base=LAW&amp;n=513758&amp;dst=100060" TargetMode = "External"/><Relationship Id="rId130" Type="http://schemas.openxmlformats.org/officeDocument/2006/relationships/hyperlink" Target="https://login.consultant.ru/link/?req=doc&amp;base=LAW&amp;n=401763&amp;dst=100013" TargetMode = "External"/><Relationship Id="rId131" Type="http://schemas.openxmlformats.org/officeDocument/2006/relationships/hyperlink" Target="https://login.consultant.ru/link/?req=doc&amp;base=LAW&amp;n=529862&amp;dst=104213" TargetMode = "External"/><Relationship Id="rId132" Type="http://schemas.openxmlformats.org/officeDocument/2006/relationships/hyperlink" Target="https://login.consultant.ru/link/?req=doc&amp;base=LAW&amp;n=529862&amp;dst=5074" TargetMode = "External"/><Relationship Id="rId133" Type="http://schemas.openxmlformats.org/officeDocument/2006/relationships/hyperlink" Target="https://login.consultant.ru/link/?req=doc&amp;base=LAW&amp;n=529862&amp;dst=100738" TargetMode = "External"/><Relationship Id="rId134" Type="http://schemas.openxmlformats.org/officeDocument/2006/relationships/hyperlink" Target="https://login.consultant.ru/link/?req=doc&amp;base=LAW&amp;n=529862&amp;dst=100798" TargetMode = "External"/><Relationship Id="rId135" Type="http://schemas.openxmlformats.org/officeDocument/2006/relationships/hyperlink" Target="https://login.consultant.ru/link/?req=doc&amp;base=LAW&amp;n=529862&amp;dst=8083" TargetMode = "External"/><Relationship Id="rId136" Type="http://schemas.openxmlformats.org/officeDocument/2006/relationships/hyperlink" Target="https://login.consultant.ru/link/?req=doc&amp;base=LAW&amp;n=529862&amp;dst=100823" TargetMode = "External"/><Relationship Id="rId137" Type="http://schemas.openxmlformats.org/officeDocument/2006/relationships/hyperlink" Target="https://login.consultant.ru/link/?req=doc&amp;base=LAW&amp;n=529862&amp;dst=1506" TargetMode = "External"/><Relationship Id="rId138" Type="http://schemas.openxmlformats.org/officeDocument/2006/relationships/hyperlink" Target="https://login.consultant.ru/link/?req=doc&amp;base=LAW&amp;n=529862&amp;dst=3902" TargetMode = "External"/><Relationship Id="rId139" Type="http://schemas.openxmlformats.org/officeDocument/2006/relationships/hyperlink" Target="https://login.consultant.ru/link/?req=doc&amp;base=LAW&amp;n=529862&amp;dst=3714" TargetMode = "External"/><Relationship Id="rId140" Type="http://schemas.openxmlformats.org/officeDocument/2006/relationships/hyperlink" Target="https://login.consultant.ru/link/?req=doc&amp;base=LAW&amp;n=529862&amp;dst=2925" TargetMode = "External"/><Relationship Id="rId141" Type="http://schemas.openxmlformats.org/officeDocument/2006/relationships/hyperlink" Target="https://login.consultant.ru/link/?req=doc&amp;base=LAW&amp;n=529862&amp;dst=7998" TargetMode = "External"/><Relationship Id="rId142" Type="http://schemas.openxmlformats.org/officeDocument/2006/relationships/hyperlink" Target="https://login.consultant.ru/link/?req=doc&amp;base=LAW&amp;n=529862&amp;dst=101624" TargetMode = "External"/><Relationship Id="rId143" Type="http://schemas.openxmlformats.org/officeDocument/2006/relationships/hyperlink" Target="https://login.consultant.ru/link/?req=doc&amp;base=LAW&amp;n=529862&amp;dst=104213" TargetMode = "External"/><Relationship Id="rId144" Type="http://schemas.openxmlformats.org/officeDocument/2006/relationships/hyperlink" Target="https://login.consultant.ru/link/?req=doc&amp;base=LAW&amp;n=529862&amp;dst=5074" TargetMode = "External"/><Relationship Id="rId145" Type="http://schemas.openxmlformats.org/officeDocument/2006/relationships/hyperlink" Target="https://login.consultant.ru/link/?req=doc&amp;base=LAW&amp;n=529862&amp;dst=100738" TargetMode = "External"/><Relationship Id="rId146" Type="http://schemas.openxmlformats.org/officeDocument/2006/relationships/hyperlink" Target="https://login.consultant.ru/link/?req=doc&amp;base=LAW&amp;n=529862&amp;dst=100798" TargetMode = "External"/><Relationship Id="rId147" Type="http://schemas.openxmlformats.org/officeDocument/2006/relationships/hyperlink" Target="https://login.consultant.ru/link/?req=doc&amp;base=LAW&amp;n=529862&amp;dst=8083" TargetMode = "External"/><Relationship Id="rId148" Type="http://schemas.openxmlformats.org/officeDocument/2006/relationships/hyperlink" Target="https://login.consultant.ru/link/?req=doc&amp;base=LAW&amp;n=529862&amp;dst=100823" TargetMode = "External"/><Relationship Id="rId149" Type="http://schemas.openxmlformats.org/officeDocument/2006/relationships/hyperlink" Target="https://login.consultant.ru/link/?req=doc&amp;base=LAW&amp;n=529862&amp;dst=1506" TargetMode = "External"/><Relationship Id="rId150" Type="http://schemas.openxmlformats.org/officeDocument/2006/relationships/hyperlink" Target="https://login.consultant.ru/link/?req=doc&amp;base=LAW&amp;n=529862&amp;dst=3902" TargetMode = "External"/><Relationship Id="rId151" Type="http://schemas.openxmlformats.org/officeDocument/2006/relationships/hyperlink" Target="https://login.consultant.ru/link/?req=doc&amp;base=LAW&amp;n=529862&amp;dst=3714" TargetMode = "External"/><Relationship Id="rId152" Type="http://schemas.openxmlformats.org/officeDocument/2006/relationships/hyperlink" Target="https://login.consultant.ru/link/?req=doc&amp;base=LAW&amp;n=529862&amp;dst=2925" TargetMode = "External"/><Relationship Id="rId153" Type="http://schemas.openxmlformats.org/officeDocument/2006/relationships/hyperlink" Target="https://login.consultant.ru/link/?req=doc&amp;base=LAW&amp;n=529862&amp;dst=7998" TargetMode = "External"/><Relationship Id="rId154" Type="http://schemas.openxmlformats.org/officeDocument/2006/relationships/hyperlink" Target="https://login.consultant.ru/link/?req=doc&amp;base=LAW&amp;n=529862&amp;dst=101624" TargetMode = "External"/><Relationship Id="rId155" Type="http://schemas.openxmlformats.org/officeDocument/2006/relationships/hyperlink" Target="https://login.consultant.ru/link/?req=doc&amp;base=LAW&amp;n=529862&amp;dst=104213" TargetMode = "External"/><Relationship Id="rId156" Type="http://schemas.openxmlformats.org/officeDocument/2006/relationships/hyperlink" Target="https://login.consultant.ru/link/?req=doc&amp;base=LAW&amp;n=529862&amp;dst=5074" TargetMode = "External"/><Relationship Id="rId157" Type="http://schemas.openxmlformats.org/officeDocument/2006/relationships/hyperlink" Target="https://login.consultant.ru/link/?req=doc&amp;base=LAW&amp;n=529862&amp;dst=100738" TargetMode = "External"/><Relationship Id="rId158" Type="http://schemas.openxmlformats.org/officeDocument/2006/relationships/hyperlink" Target="https://login.consultant.ru/link/?req=doc&amp;base=LAW&amp;n=529862&amp;dst=100798" TargetMode = "External"/><Relationship Id="rId159" Type="http://schemas.openxmlformats.org/officeDocument/2006/relationships/hyperlink" Target="https://login.consultant.ru/link/?req=doc&amp;base=LAW&amp;n=529862&amp;dst=8083" TargetMode = "External"/><Relationship Id="rId160" Type="http://schemas.openxmlformats.org/officeDocument/2006/relationships/hyperlink" Target="https://login.consultant.ru/link/?req=doc&amp;base=LAW&amp;n=529862&amp;dst=100823" TargetMode = "External"/><Relationship Id="rId161" Type="http://schemas.openxmlformats.org/officeDocument/2006/relationships/hyperlink" Target="https://login.consultant.ru/link/?req=doc&amp;base=LAW&amp;n=529862&amp;dst=1506" TargetMode = "External"/><Relationship Id="rId162" Type="http://schemas.openxmlformats.org/officeDocument/2006/relationships/hyperlink" Target="https://login.consultant.ru/link/?req=doc&amp;base=LAW&amp;n=529862&amp;dst=3902" TargetMode = "External"/><Relationship Id="rId163" Type="http://schemas.openxmlformats.org/officeDocument/2006/relationships/hyperlink" Target="https://login.consultant.ru/link/?req=doc&amp;base=LAW&amp;n=529862&amp;dst=3714" TargetMode = "External"/><Relationship Id="rId164" Type="http://schemas.openxmlformats.org/officeDocument/2006/relationships/hyperlink" Target="https://login.consultant.ru/link/?req=doc&amp;base=LAW&amp;n=529862&amp;dst=2925" TargetMode = "External"/><Relationship Id="rId165" Type="http://schemas.openxmlformats.org/officeDocument/2006/relationships/hyperlink" Target="https://login.consultant.ru/link/?req=doc&amp;base=LAW&amp;n=529862&amp;dst=7998" TargetMode = "External"/><Relationship Id="rId166" Type="http://schemas.openxmlformats.org/officeDocument/2006/relationships/hyperlink" Target="https://login.consultant.ru/link/?req=doc&amp;base=LAW&amp;n=529862&amp;dst=101624" TargetMode = "External"/><Relationship Id="rId167" Type="http://schemas.openxmlformats.org/officeDocument/2006/relationships/hyperlink" Target="https://login.consultant.ru/link/?req=doc&amp;base=LAW&amp;n=513758&amp;dst=100063" TargetMode = "External"/><Relationship Id="rId168" Type="http://schemas.openxmlformats.org/officeDocument/2006/relationships/hyperlink" Target="https://login.consultant.ru/link/?req=doc&amp;base=LAW&amp;n=401763&amp;dst=100016" TargetMode = "External"/><Relationship Id="rId169" Type="http://schemas.openxmlformats.org/officeDocument/2006/relationships/hyperlink" Target="https://login.consultant.ru/link/?req=doc&amp;base=LAW&amp;n=513798&amp;dst=10001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29.06.2021 N 1047
(ред. от 02.09.2025)
"Об утверждении Положения о федеральном государственном контроле (надзоре) в области торгового мореплавания и внутреннего водного транспорта"</dc:title>
  <dcterms:created xsi:type="dcterms:W3CDTF">2026-04-16T21:15:11Z</dcterms:created>
</cp:coreProperties>
</file>